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0000001" w14:textId="77777777" w:rsidR="0092440D" w:rsidRPr="00950C7D" w:rsidRDefault="0092440D">
      <w:pPr>
        <w:tabs>
          <w:tab w:val="center" w:pos="4680"/>
        </w:tabs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14:paraId="00000002" w14:textId="77777777" w:rsidR="0092440D" w:rsidRPr="00950C7D" w:rsidRDefault="0092440D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99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</w:p>
    <w:p w14:paraId="00000003" w14:textId="77777777" w:rsidR="0092440D" w:rsidRPr="00950C7D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990"/>
        <w:jc w:val="center"/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</w:pPr>
      <w:r w:rsidRPr="00950C7D">
        <w:rPr>
          <w:rFonts w:ascii="Times New Roman" w:eastAsia="Times New Roman" w:hAnsi="Times New Roman" w:cs="Times New Roman"/>
          <w:b/>
          <w:color w:val="000000"/>
          <w:sz w:val="28"/>
          <w:szCs w:val="28"/>
        </w:rPr>
        <w:t xml:space="preserve">FIȘA DISCIPLINEI </w:t>
      </w:r>
    </w:p>
    <w:p w14:paraId="00000004" w14:textId="77777777" w:rsidR="0092440D" w:rsidRPr="00950C7D" w:rsidRDefault="0092440D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ind w:right="-990"/>
        <w:jc w:val="center"/>
        <w:rPr>
          <w:rFonts w:ascii="Times New Roman" w:eastAsia="Times New Roman" w:hAnsi="Times New Roman" w:cs="Times New Roman"/>
          <w:b/>
          <w:color w:val="000000"/>
          <w:sz w:val="20"/>
          <w:szCs w:val="20"/>
        </w:rPr>
      </w:pPr>
    </w:p>
    <w:p w14:paraId="00000005" w14:textId="77777777" w:rsidR="0092440D" w:rsidRPr="00950C7D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67"/>
        </w:tabs>
        <w:spacing w:after="0" w:line="276" w:lineRule="auto"/>
        <w:ind w:left="965" w:hanging="36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50C7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Date despre program</w:t>
      </w:r>
    </w:p>
    <w:tbl>
      <w:tblPr>
        <w:tblStyle w:val="a"/>
        <w:tblW w:w="10191" w:type="dxa"/>
        <w:tblInd w:w="-42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106"/>
        <w:gridCol w:w="6085"/>
      </w:tblGrid>
      <w:tr w:rsidR="0092440D" w:rsidRPr="00950C7D" w14:paraId="758D7F15" w14:textId="77777777">
        <w:trPr>
          <w:trHeight w:val="290"/>
        </w:trPr>
        <w:tc>
          <w:tcPr>
            <w:tcW w:w="4106" w:type="dxa"/>
          </w:tcPr>
          <w:p w14:paraId="00000006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1.1. Instituția de învățământ superior</w:t>
            </w:r>
          </w:p>
        </w:tc>
        <w:tc>
          <w:tcPr>
            <w:tcW w:w="6085" w:type="dxa"/>
            <w:vAlign w:val="center"/>
          </w:tcPr>
          <w:p w14:paraId="00000007" w14:textId="77777777" w:rsidR="0092440D" w:rsidRPr="000934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93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Universitatea de Vest din Timișoara</w:t>
            </w:r>
          </w:p>
        </w:tc>
      </w:tr>
      <w:tr w:rsidR="0092440D" w:rsidRPr="00950C7D" w14:paraId="5051502C" w14:textId="77777777">
        <w:trPr>
          <w:trHeight w:val="290"/>
        </w:trPr>
        <w:tc>
          <w:tcPr>
            <w:tcW w:w="4106" w:type="dxa"/>
          </w:tcPr>
          <w:p w14:paraId="00000008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1.2. Facultatea</w:t>
            </w:r>
          </w:p>
        </w:tc>
        <w:tc>
          <w:tcPr>
            <w:tcW w:w="6085" w:type="dxa"/>
            <w:vAlign w:val="center"/>
          </w:tcPr>
          <w:p w14:paraId="00000009" w14:textId="77777777" w:rsidR="0092440D" w:rsidRPr="00093457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93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Departamentul pentru Pregătirea Personalului Didactic/</w:t>
            </w:r>
          </w:p>
          <w:p w14:paraId="0000000A" w14:textId="77777777" w:rsidR="0092440D" w:rsidRPr="000934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93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Centrul de Dezvoltare Academică</w:t>
            </w:r>
          </w:p>
        </w:tc>
      </w:tr>
      <w:tr w:rsidR="0092440D" w:rsidRPr="00950C7D" w14:paraId="5A7D9873" w14:textId="77777777">
        <w:trPr>
          <w:trHeight w:val="290"/>
        </w:trPr>
        <w:tc>
          <w:tcPr>
            <w:tcW w:w="4106" w:type="dxa"/>
          </w:tcPr>
          <w:p w14:paraId="0000000B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1.3. Domeniul de studii</w:t>
            </w:r>
          </w:p>
        </w:tc>
        <w:tc>
          <w:tcPr>
            <w:tcW w:w="6085" w:type="dxa"/>
            <w:vAlign w:val="center"/>
          </w:tcPr>
          <w:p w14:paraId="0000000C" w14:textId="77777777" w:rsidR="0092440D" w:rsidRPr="000934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93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Științe ale educației </w:t>
            </w:r>
          </w:p>
        </w:tc>
      </w:tr>
      <w:tr w:rsidR="0092440D" w:rsidRPr="00950C7D" w14:paraId="1F4E6645" w14:textId="77777777">
        <w:trPr>
          <w:trHeight w:val="292"/>
        </w:trPr>
        <w:tc>
          <w:tcPr>
            <w:tcW w:w="4106" w:type="dxa"/>
          </w:tcPr>
          <w:p w14:paraId="0000000D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1.4. Programul de studii postuniversitare</w:t>
            </w:r>
          </w:p>
        </w:tc>
        <w:tc>
          <w:tcPr>
            <w:tcW w:w="6085" w:type="dxa"/>
            <w:vAlign w:val="center"/>
          </w:tcPr>
          <w:p w14:paraId="0000000E" w14:textId="77777777" w:rsidR="0092440D" w:rsidRPr="000934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93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UVT Teaching &amp; Learning Brand: program de dezvoltare inițială a instruirii reflexiv-colaborative a cadrelor didactice universitare</w:t>
            </w:r>
          </w:p>
        </w:tc>
      </w:tr>
    </w:tbl>
    <w:p w14:paraId="0000000F" w14:textId="77777777" w:rsidR="0092440D" w:rsidRPr="00950C7D" w:rsidRDefault="0092440D">
      <w:pPr>
        <w:spacing w:after="0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00000010" w14:textId="77777777" w:rsidR="0092440D" w:rsidRPr="00950C7D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67"/>
        </w:tabs>
        <w:spacing w:after="0" w:line="276" w:lineRule="auto"/>
        <w:ind w:left="965" w:hanging="36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50C7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Date despre disciplină</w:t>
      </w:r>
    </w:p>
    <w:tbl>
      <w:tblPr>
        <w:tblStyle w:val="a0"/>
        <w:tblW w:w="10212" w:type="dxa"/>
        <w:tblInd w:w="-44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104"/>
        <w:gridCol w:w="6108"/>
      </w:tblGrid>
      <w:tr w:rsidR="0092440D" w:rsidRPr="00950C7D" w14:paraId="1DB62D86" w14:textId="77777777">
        <w:trPr>
          <w:trHeight w:val="290"/>
        </w:trPr>
        <w:tc>
          <w:tcPr>
            <w:tcW w:w="4104" w:type="dxa"/>
          </w:tcPr>
          <w:p w14:paraId="00000011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2.1. Denumire disciplină</w:t>
            </w:r>
          </w:p>
        </w:tc>
        <w:tc>
          <w:tcPr>
            <w:tcW w:w="6108" w:type="dxa"/>
          </w:tcPr>
          <w:p w14:paraId="00000012" w14:textId="77777777" w:rsidR="0092440D" w:rsidRPr="000934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bookmarkStart w:id="0" w:name="_heading=h.gjdgxs" w:colFirst="0" w:colLast="0"/>
            <w:bookmarkEnd w:id="0"/>
            <w:r w:rsidRPr="0009345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Echitate, diversitate și incluziune în mediul academic</w:t>
            </w:r>
          </w:p>
        </w:tc>
      </w:tr>
      <w:tr w:rsidR="0092440D" w:rsidRPr="00950C7D" w14:paraId="70FD39F4" w14:textId="77777777">
        <w:trPr>
          <w:trHeight w:val="292"/>
        </w:trPr>
        <w:tc>
          <w:tcPr>
            <w:tcW w:w="4104" w:type="dxa"/>
          </w:tcPr>
          <w:p w14:paraId="00000013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2.2. Titular activități de curs</w:t>
            </w:r>
          </w:p>
        </w:tc>
        <w:tc>
          <w:tcPr>
            <w:tcW w:w="6108" w:type="dxa"/>
          </w:tcPr>
          <w:p w14:paraId="00000014" w14:textId="77777777" w:rsidR="0092440D" w:rsidRPr="000934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93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093457">
              <w:rPr>
                <w:rFonts w:ascii="Times New Roman" w:eastAsia="Times New Roman" w:hAnsi="Times New Roman" w:cs="Times New Roman"/>
                <w:sz w:val="24"/>
                <w:szCs w:val="24"/>
              </w:rPr>
              <w:t>Lect</w:t>
            </w:r>
            <w:r w:rsidRPr="00093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univ. dr. </w:t>
            </w:r>
            <w:r w:rsidRPr="00093457">
              <w:rPr>
                <w:rFonts w:ascii="Times New Roman" w:eastAsia="Times New Roman" w:hAnsi="Times New Roman" w:cs="Times New Roman"/>
                <w:sz w:val="24"/>
                <w:szCs w:val="24"/>
              </w:rPr>
              <w:t>Leyla SAFTA-ZECHERIA</w:t>
            </w:r>
          </w:p>
        </w:tc>
      </w:tr>
      <w:tr w:rsidR="0092440D" w:rsidRPr="00950C7D" w14:paraId="3DA54266" w14:textId="77777777">
        <w:trPr>
          <w:trHeight w:val="290"/>
        </w:trPr>
        <w:tc>
          <w:tcPr>
            <w:tcW w:w="4104" w:type="dxa"/>
          </w:tcPr>
          <w:p w14:paraId="00000015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2.3. Titular activități de seminar</w:t>
            </w:r>
          </w:p>
        </w:tc>
        <w:tc>
          <w:tcPr>
            <w:tcW w:w="6108" w:type="dxa"/>
          </w:tcPr>
          <w:p w14:paraId="00000016" w14:textId="77777777" w:rsidR="0092440D" w:rsidRPr="000934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9345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Lect. univ. dr. Leyla</w:t>
            </w:r>
            <w:r w:rsidRPr="0009345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093457">
              <w:rPr>
                <w:rFonts w:ascii="Times New Roman" w:eastAsia="Times New Roman" w:hAnsi="Times New Roman" w:cs="Times New Roman"/>
                <w:sz w:val="24"/>
                <w:szCs w:val="24"/>
              </w:rPr>
              <w:t>SAFTA-ZECHERIA</w:t>
            </w:r>
          </w:p>
          <w:p w14:paraId="00000017" w14:textId="77777777" w:rsidR="0092440D" w:rsidRPr="00093457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09345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Referent de specialitate Ilinca SAS</w:t>
            </w:r>
          </w:p>
        </w:tc>
      </w:tr>
      <w:tr w:rsidR="0092440D" w:rsidRPr="00950C7D" w14:paraId="07F1072B" w14:textId="77777777">
        <w:trPr>
          <w:trHeight w:val="290"/>
        </w:trPr>
        <w:tc>
          <w:tcPr>
            <w:tcW w:w="4104" w:type="dxa"/>
          </w:tcPr>
          <w:p w14:paraId="00000018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2.4. Titular activități de laborator/lucrări</w:t>
            </w:r>
          </w:p>
        </w:tc>
        <w:tc>
          <w:tcPr>
            <w:tcW w:w="6108" w:type="dxa"/>
          </w:tcPr>
          <w:p w14:paraId="00000019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</w:tbl>
    <w:p w14:paraId="0000001A" w14:textId="77777777" w:rsidR="0092440D" w:rsidRPr="00950C7D" w:rsidRDefault="0092440D">
      <w:pPr>
        <w:spacing w:after="0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0000001B" w14:textId="77777777" w:rsidR="0092440D" w:rsidRPr="00950C7D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67"/>
        </w:tabs>
        <w:spacing w:after="0" w:line="276" w:lineRule="auto"/>
        <w:ind w:left="965" w:hanging="360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50C7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Timpul total estimat </w:t>
      </w:r>
    </w:p>
    <w:tbl>
      <w:tblPr>
        <w:tblStyle w:val="a1"/>
        <w:tblW w:w="10365" w:type="dxa"/>
        <w:tblInd w:w="-56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383"/>
        <w:gridCol w:w="425"/>
        <w:gridCol w:w="567"/>
        <w:gridCol w:w="992"/>
        <w:gridCol w:w="284"/>
        <w:gridCol w:w="425"/>
        <w:gridCol w:w="974"/>
        <w:gridCol w:w="425"/>
        <w:gridCol w:w="1170"/>
        <w:gridCol w:w="720"/>
      </w:tblGrid>
      <w:tr w:rsidR="0092440D" w:rsidRPr="00950C7D" w14:paraId="2CC1D946" w14:textId="77777777">
        <w:trPr>
          <w:trHeight w:val="343"/>
        </w:trPr>
        <w:tc>
          <w:tcPr>
            <w:tcW w:w="4383" w:type="dxa"/>
          </w:tcPr>
          <w:p w14:paraId="0000001C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3.1. Număr de ore de activități didactice</w:t>
            </w:r>
          </w:p>
        </w:tc>
        <w:tc>
          <w:tcPr>
            <w:tcW w:w="425" w:type="dxa"/>
          </w:tcPr>
          <w:p w14:paraId="0000001D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48</w:t>
            </w:r>
          </w:p>
        </w:tc>
        <w:tc>
          <w:tcPr>
            <w:tcW w:w="1843" w:type="dxa"/>
            <w:gridSpan w:val="3"/>
          </w:tcPr>
          <w:p w14:paraId="0000001E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1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din care: ore Curs</w:t>
            </w:r>
          </w:p>
        </w:tc>
        <w:tc>
          <w:tcPr>
            <w:tcW w:w="425" w:type="dxa"/>
          </w:tcPr>
          <w:p w14:paraId="00000021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974" w:type="dxa"/>
          </w:tcPr>
          <w:p w14:paraId="00000022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6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Seminar</w:t>
            </w:r>
          </w:p>
        </w:tc>
        <w:tc>
          <w:tcPr>
            <w:tcW w:w="425" w:type="dxa"/>
          </w:tcPr>
          <w:p w14:paraId="00000023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24</w:t>
            </w:r>
          </w:p>
        </w:tc>
        <w:tc>
          <w:tcPr>
            <w:tcW w:w="1170" w:type="dxa"/>
          </w:tcPr>
          <w:p w14:paraId="00000024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6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L/P/AP</w:t>
            </w: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vertAlign w:val="superscript"/>
              </w:rPr>
              <w:footnoteReference w:id="1"/>
            </w:r>
          </w:p>
        </w:tc>
        <w:tc>
          <w:tcPr>
            <w:tcW w:w="720" w:type="dxa"/>
          </w:tcPr>
          <w:p w14:paraId="00000025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</w:p>
        </w:tc>
      </w:tr>
      <w:tr w:rsidR="0092440D" w:rsidRPr="00950C7D" w14:paraId="19FF549F" w14:textId="77777777">
        <w:trPr>
          <w:trHeight w:val="292"/>
        </w:trPr>
        <w:tc>
          <w:tcPr>
            <w:tcW w:w="8475" w:type="dxa"/>
            <w:gridSpan w:val="8"/>
          </w:tcPr>
          <w:p w14:paraId="00000026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3.3. Distribuția fondului de timp de studiu individual:</w:t>
            </w:r>
          </w:p>
        </w:tc>
        <w:tc>
          <w:tcPr>
            <w:tcW w:w="1170" w:type="dxa"/>
          </w:tcPr>
          <w:p w14:paraId="0000002E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20" w:type="dxa"/>
          </w:tcPr>
          <w:p w14:paraId="0000002F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9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sdt>
              <w:sdtPr>
                <w:rPr>
                  <w:rFonts w:ascii="Times New Roman" w:hAnsi="Times New Roman" w:cs="Times New Roman"/>
                </w:rPr>
                <w:tag w:val="goog_rdk_0"/>
                <w:id w:val="-1316722587"/>
              </w:sdtPr>
              <w:sdtContent/>
            </w:sdt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ore</w:t>
            </w:r>
          </w:p>
        </w:tc>
      </w:tr>
      <w:tr w:rsidR="0092440D" w:rsidRPr="00950C7D" w14:paraId="7E4BA201" w14:textId="77777777">
        <w:trPr>
          <w:trHeight w:val="290"/>
        </w:trPr>
        <w:tc>
          <w:tcPr>
            <w:tcW w:w="8475" w:type="dxa"/>
            <w:gridSpan w:val="8"/>
          </w:tcPr>
          <w:p w14:paraId="00000030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Studiul după manual, suport de curs, bibliografie și notițe</w:t>
            </w:r>
          </w:p>
        </w:tc>
        <w:tc>
          <w:tcPr>
            <w:tcW w:w="1170" w:type="dxa"/>
          </w:tcPr>
          <w:p w14:paraId="00000038" w14:textId="7167099B" w:rsidR="0092440D" w:rsidRPr="00950C7D" w:rsidRDefault="006517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720" w:type="dxa"/>
          </w:tcPr>
          <w:p w14:paraId="00000039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3692F7E0" w14:textId="77777777">
        <w:trPr>
          <w:trHeight w:val="290"/>
        </w:trPr>
        <w:tc>
          <w:tcPr>
            <w:tcW w:w="8475" w:type="dxa"/>
            <w:gridSpan w:val="8"/>
          </w:tcPr>
          <w:p w14:paraId="0000003A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Documentare suplimentară în bibliotecă, pe platformele electronice de specialitate / pe teren</w:t>
            </w:r>
          </w:p>
        </w:tc>
        <w:tc>
          <w:tcPr>
            <w:tcW w:w="1170" w:type="dxa"/>
          </w:tcPr>
          <w:p w14:paraId="00000042" w14:textId="29B2DEE0" w:rsidR="0092440D" w:rsidRPr="00950C7D" w:rsidRDefault="006517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20</w:t>
            </w:r>
          </w:p>
        </w:tc>
        <w:tc>
          <w:tcPr>
            <w:tcW w:w="720" w:type="dxa"/>
          </w:tcPr>
          <w:p w14:paraId="00000043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3F3C1B6D" w14:textId="77777777">
        <w:trPr>
          <w:trHeight w:val="292"/>
        </w:trPr>
        <w:tc>
          <w:tcPr>
            <w:tcW w:w="8475" w:type="dxa"/>
            <w:gridSpan w:val="8"/>
          </w:tcPr>
          <w:p w14:paraId="00000044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Pregătire seminare / laboratoare, teme, referate, portofolii și eseuri</w:t>
            </w:r>
          </w:p>
        </w:tc>
        <w:tc>
          <w:tcPr>
            <w:tcW w:w="1170" w:type="dxa"/>
          </w:tcPr>
          <w:p w14:paraId="0000004C" w14:textId="47E8CDAB" w:rsidR="0092440D" w:rsidRPr="00950C7D" w:rsidRDefault="006517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10</w:t>
            </w:r>
          </w:p>
        </w:tc>
        <w:tc>
          <w:tcPr>
            <w:tcW w:w="720" w:type="dxa"/>
          </w:tcPr>
          <w:p w14:paraId="0000004D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7FF4F046" w14:textId="77777777">
        <w:trPr>
          <w:trHeight w:val="290"/>
        </w:trPr>
        <w:tc>
          <w:tcPr>
            <w:tcW w:w="8475" w:type="dxa"/>
            <w:gridSpan w:val="8"/>
          </w:tcPr>
          <w:p w14:paraId="0000004E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Tutoriat</w:t>
            </w:r>
          </w:p>
        </w:tc>
        <w:tc>
          <w:tcPr>
            <w:tcW w:w="1170" w:type="dxa"/>
          </w:tcPr>
          <w:p w14:paraId="00000056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20" w:type="dxa"/>
          </w:tcPr>
          <w:p w14:paraId="00000057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72B298CD" w14:textId="77777777">
        <w:trPr>
          <w:trHeight w:val="290"/>
        </w:trPr>
        <w:tc>
          <w:tcPr>
            <w:tcW w:w="8475" w:type="dxa"/>
            <w:gridSpan w:val="8"/>
          </w:tcPr>
          <w:p w14:paraId="00000058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Examinări</w:t>
            </w:r>
          </w:p>
        </w:tc>
        <w:tc>
          <w:tcPr>
            <w:tcW w:w="1170" w:type="dxa"/>
          </w:tcPr>
          <w:p w14:paraId="00000060" w14:textId="5CEE72F6" w:rsidR="0092440D" w:rsidRPr="00950C7D" w:rsidRDefault="006517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00000061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489CD58D" w14:textId="77777777">
        <w:trPr>
          <w:trHeight w:val="292"/>
        </w:trPr>
        <w:tc>
          <w:tcPr>
            <w:tcW w:w="8475" w:type="dxa"/>
            <w:gridSpan w:val="8"/>
          </w:tcPr>
          <w:p w14:paraId="00000062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Alte activități ……………………………………</w:t>
            </w:r>
          </w:p>
        </w:tc>
        <w:tc>
          <w:tcPr>
            <w:tcW w:w="1170" w:type="dxa"/>
          </w:tcPr>
          <w:p w14:paraId="0000006A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720" w:type="dxa"/>
          </w:tcPr>
          <w:p w14:paraId="0000006B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43B95D69" w14:textId="77777777">
        <w:trPr>
          <w:trHeight w:val="290"/>
        </w:trPr>
        <w:tc>
          <w:tcPr>
            <w:tcW w:w="4383" w:type="dxa"/>
          </w:tcPr>
          <w:p w14:paraId="0000006C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3.4. Total ore studiu individual</w:t>
            </w:r>
          </w:p>
        </w:tc>
        <w:tc>
          <w:tcPr>
            <w:tcW w:w="992" w:type="dxa"/>
            <w:gridSpan w:val="2"/>
          </w:tcPr>
          <w:p w14:paraId="0000006D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14:paraId="0000006F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52</w:t>
            </w:r>
          </w:p>
        </w:tc>
        <w:tc>
          <w:tcPr>
            <w:tcW w:w="3998" w:type="dxa"/>
            <w:gridSpan w:val="6"/>
            <w:vMerge w:val="restart"/>
            <w:tcBorders>
              <w:bottom w:val="nil"/>
              <w:right w:val="nil"/>
            </w:tcBorders>
          </w:tcPr>
          <w:p w14:paraId="00000070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39416128" w14:textId="77777777">
        <w:trPr>
          <w:trHeight w:val="292"/>
        </w:trPr>
        <w:tc>
          <w:tcPr>
            <w:tcW w:w="4383" w:type="dxa"/>
          </w:tcPr>
          <w:p w14:paraId="00000076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3.5. Total ore de studiu alocate disciplinei (activități didactice + studiu individual)</w:t>
            </w:r>
          </w:p>
        </w:tc>
        <w:tc>
          <w:tcPr>
            <w:tcW w:w="992" w:type="dxa"/>
            <w:gridSpan w:val="2"/>
          </w:tcPr>
          <w:p w14:paraId="00000077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992" w:type="dxa"/>
          </w:tcPr>
          <w:p w14:paraId="00000079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3998" w:type="dxa"/>
            <w:gridSpan w:val="6"/>
            <w:vMerge/>
            <w:tcBorders>
              <w:bottom w:val="nil"/>
              <w:right w:val="nil"/>
            </w:tcBorders>
          </w:tcPr>
          <w:p w14:paraId="0000007A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1C391779" w14:textId="77777777">
        <w:trPr>
          <w:trHeight w:val="290"/>
        </w:trPr>
        <w:tc>
          <w:tcPr>
            <w:tcW w:w="4383" w:type="dxa"/>
          </w:tcPr>
          <w:p w14:paraId="00000080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3.6. Numărul de credite</w:t>
            </w:r>
          </w:p>
        </w:tc>
        <w:tc>
          <w:tcPr>
            <w:tcW w:w="992" w:type="dxa"/>
            <w:gridSpan w:val="2"/>
          </w:tcPr>
          <w:p w14:paraId="00000081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92" w:type="dxa"/>
          </w:tcPr>
          <w:p w14:paraId="00000083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998" w:type="dxa"/>
            <w:gridSpan w:val="6"/>
            <w:vMerge/>
            <w:tcBorders>
              <w:bottom w:val="nil"/>
              <w:right w:val="nil"/>
            </w:tcBorders>
          </w:tcPr>
          <w:p w14:paraId="00000084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0000008A" w14:textId="77777777" w:rsidR="0092440D" w:rsidRPr="00950C7D" w:rsidRDefault="0092440D">
      <w:pPr>
        <w:spacing w:after="0" w:line="276" w:lineRule="auto"/>
        <w:rPr>
          <w:rFonts w:ascii="Times New Roman" w:eastAsia="Times New Roman" w:hAnsi="Times New Roman" w:cs="Times New Roman"/>
          <w:sz w:val="20"/>
          <w:szCs w:val="20"/>
        </w:rPr>
      </w:pPr>
    </w:p>
    <w:p w14:paraId="0000008B" w14:textId="77777777" w:rsidR="0092440D" w:rsidRPr="00950C7D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67"/>
        </w:tabs>
        <w:spacing w:after="0" w:line="276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50C7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Precondiții pentru parcurgerea disciplinei (acolo unde este cazul)</w:t>
      </w:r>
    </w:p>
    <w:tbl>
      <w:tblPr>
        <w:tblStyle w:val="a2"/>
        <w:tblW w:w="9689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1985"/>
        <w:gridCol w:w="7704"/>
      </w:tblGrid>
      <w:tr w:rsidR="0092440D" w:rsidRPr="00950C7D" w14:paraId="55462B90" w14:textId="77777777">
        <w:trPr>
          <w:trHeight w:val="309"/>
        </w:trPr>
        <w:tc>
          <w:tcPr>
            <w:tcW w:w="1985" w:type="dxa"/>
          </w:tcPr>
          <w:p w14:paraId="0000008C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4.1. de curriculum</w:t>
            </w:r>
          </w:p>
        </w:tc>
        <w:tc>
          <w:tcPr>
            <w:tcW w:w="7704" w:type="dxa"/>
          </w:tcPr>
          <w:p w14:paraId="0000008D" w14:textId="62CD3781" w:rsidR="0092440D" w:rsidRPr="00950C7D" w:rsidRDefault="006517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4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- Cunoștințe fundamentale de planificare și evaluare a activităților didactice. </w:t>
            </w:r>
          </w:p>
        </w:tc>
      </w:tr>
      <w:tr w:rsidR="0092440D" w:rsidRPr="00950C7D" w14:paraId="00020C68" w14:textId="77777777">
        <w:trPr>
          <w:trHeight w:val="309"/>
        </w:trPr>
        <w:tc>
          <w:tcPr>
            <w:tcW w:w="1985" w:type="dxa"/>
          </w:tcPr>
          <w:p w14:paraId="0000008E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4.2. de competențe</w:t>
            </w:r>
          </w:p>
        </w:tc>
        <w:tc>
          <w:tcPr>
            <w:tcW w:w="7704" w:type="dxa"/>
          </w:tcPr>
          <w:p w14:paraId="0000008F" w14:textId="75D73A8F" w:rsidR="0092440D" w:rsidRPr="00950C7D" w:rsidRDefault="006517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4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 Abilități de bază de planificare și desfășurare a activităților didactice.</w:t>
            </w:r>
          </w:p>
        </w:tc>
      </w:tr>
    </w:tbl>
    <w:p w14:paraId="00000090" w14:textId="77777777" w:rsidR="0092440D" w:rsidRPr="00950C7D" w:rsidRDefault="0092440D">
      <w:pPr>
        <w:widowControl w:val="0"/>
        <w:pBdr>
          <w:top w:val="nil"/>
          <w:left w:val="nil"/>
          <w:bottom w:val="nil"/>
          <w:right w:val="nil"/>
          <w:between w:val="nil"/>
        </w:pBdr>
        <w:tabs>
          <w:tab w:val="left" w:pos="967"/>
        </w:tabs>
        <w:spacing w:after="0" w:line="276" w:lineRule="auto"/>
        <w:ind w:left="966"/>
        <w:rPr>
          <w:rFonts w:ascii="Times New Roman" w:eastAsia="Times New Roman" w:hAnsi="Times New Roman" w:cs="Times New Roman"/>
          <w:color w:val="000000"/>
          <w:sz w:val="20"/>
          <w:szCs w:val="20"/>
        </w:rPr>
      </w:pPr>
    </w:p>
    <w:p w14:paraId="00000091" w14:textId="77777777" w:rsidR="0092440D" w:rsidRPr="00950C7D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67"/>
        </w:tabs>
        <w:spacing w:after="0" w:line="276" w:lineRule="auto"/>
        <w:ind w:hanging="357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50C7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Condiții (acolo unde este cazul)</w:t>
      </w:r>
    </w:p>
    <w:tbl>
      <w:tblPr>
        <w:tblStyle w:val="a3"/>
        <w:tblW w:w="9689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89"/>
        <w:gridCol w:w="7400"/>
      </w:tblGrid>
      <w:tr w:rsidR="0092440D" w:rsidRPr="00950C7D" w14:paraId="69A2A421" w14:textId="77777777" w:rsidTr="0099604A">
        <w:trPr>
          <w:trHeight w:val="402"/>
        </w:trPr>
        <w:tc>
          <w:tcPr>
            <w:tcW w:w="2289" w:type="dxa"/>
          </w:tcPr>
          <w:p w14:paraId="00000092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5.1. de desfășurare a cursului</w:t>
            </w:r>
          </w:p>
        </w:tc>
        <w:tc>
          <w:tcPr>
            <w:tcW w:w="7400" w:type="dxa"/>
          </w:tcPr>
          <w:p w14:paraId="48E58D78" w14:textId="77777777" w:rsidR="0092440D" w:rsidRPr="00950C7D" w:rsidRDefault="005D3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4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Cursul se desfășoară față în față, dar presupune accesul la tehnologie (laptop/tabletă/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smart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phone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 pentru a accesa aplicații sau materiale relevante pentru curs. </w:t>
            </w:r>
          </w:p>
          <w:p w14:paraId="00000093" w14:textId="07FA5E3C" w:rsidR="005D3E8C" w:rsidRPr="00950C7D" w:rsidRDefault="005D3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4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Cursul și seminarul vor avea o pagină de 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classroom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unde participanții/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tele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sunt rugați/te să acceseze materiale relevante pentru desfășurarea activității. Cei/cele care lipsesc sunt invitați/te să recupereze conținutul interacțiunii parcurgând după caz suportul de curs, bibliografia obligatorie și prin realizarea temelor compensatorii postate pe 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classroom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. </w:t>
            </w:r>
          </w:p>
        </w:tc>
      </w:tr>
      <w:tr w:rsidR="0092440D" w:rsidRPr="00950C7D" w14:paraId="1F7F8898" w14:textId="77777777" w:rsidTr="0099604A">
        <w:trPr>
          <w:trHeight w:val="403"/>
        </w:trPr>
        <w:tc>
          <w:tcPr>
            <w:tcW w:w="2289" w:type="dxa"/>
          </w:tcPr>
          <w:p w14:paraId="00000094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5.2. de desfășurare a seminarului</w:t>
            </w:r>
          </w:p>
        </w:tc>
        <w:tc>
          <w:tcPr>
            <w:tcW w:w="7400" w:type="dxa"/>
          </w:tcPr>
          <w:p w14:paraId="5BF074C0" w14:textId="6CD5FF5A" w:rsidR="005D3E8C" w:rsidRPr="00950C7D" w:rsidRDefault="005D3E8C" w:rsidP="005D3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4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Seminarul se desfășoară față în față, dar presupune accesul la tehnologie (laptop/tabletă/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smart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phone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) pentru a accesa aplicații sau materiale relevante pentru curs. </w:t>
            </w:r>
          </w:p>
          <w:p w14:paraId="00000095" w14:textId="1FD2B8E3" w:rsidR="0092440D" w:rsidRPr="00950C7D" w:rsidRDefault="005D3E8C" w:rsidP="005D3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4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Cursul și seminarul vor avea o pagină de 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classroom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unde participanții/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tele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sunt rugați/te să acceseze materiale relevante pentru desfășurarea activității. Cei/cele care lipsesc sunt invitați/te să recupereze conținutul interacțiunii parcurgând după caz suportul de curs, bibliografia obligatorie și prin realizarea temelor compensatorii postate pe 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classroom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</w:tr>
      <w:tr w:rsidR="0092440D" w:rsidRPr="00950C7D" w14:paraId="7AA7E131" w14:textId="77777777" w:rsidTr="0099604A">
        <w:trPr>
          <w:trHeight w:val="402"/>
        </w:trPr>
        <w:tc>
          <w:tcPr>
            <w:tcW w:w="2289" w:type="dxa"/>
          </w:tcPr>
          <w:p w14:paraId="00000096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5.3. de desfășurare a laboratorului/activităților practice</w:t>
            </w:r>
          </w:p>
        </w:tc>
        <w:tc>
          <w:tcPr>
            <w:tcW w:w="7400" w:type="dxa"/>
          </w:tcPr>
          <w:p w14:paraId="00000097" w14:textId="720BA4EB" w:rsidR="0092440D" w:rsidRPr="00950C7D" w:rsidRDefault="005D3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44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-</w:t>
            </w:r>
          </w:p>
        </w:tc>
      </w:tr>
    </w:tbl>
    <w:p w14:paraId="00000099" w14:textId="77777777" w:rsidR="0092440D" w:rsidRPr="00950C7D" w:rsidRDefault="0092440D">
      <w:pPr>
        <w:spacing w:after="0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0000009A" w14:textId="77777777" w:rsidR="0092440D" w:rsidRPr="00950C7D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67"/>
        </w:tabs>
        <w:spacing w:after="0" w:line="276" w:lineRule="auto"/>
        <w:ind w:hanging="357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sdt>
        <w:sdtPr>
          <w:rPr>
            <w:rFonts w:ascii="Times New Roman" w:hAnsi="Times New Roman" w:cs="Times New Roman"/>
          </w:rPr>
          <w:tag w:val="goog_rdk_1"/>
          <w:id w:val="720251553"/>
        </w:sdtPr>
        <w:sdtContent/>
      </w:sdt>
      <w:r w:rsidRPr="00950C7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Rezultatele așteptate ale învățării</w:t>
      </w:r>
    </w:p>
    <w:tbl>
      <w:tblPr>
        <w:tblStyle w:val="a4"/>
        <w:tblW w:w="9703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402"/>
        <w:gridCol w:w="7301"/>
      </w:tblGrid>
      <w:tr w:rsidR="0092440D" w:rsidRPr="00950C7D" w14:paraId="06D6006C" w14:textId="77777777" w:rsidTr="00950C7D">
        <w:trPr>
          <w:trHeight w:val="1453"/>
        </w:trPr>
        <w:tc>
          <w:tcPr>
            <w:tcW w:w="2402" w:type="dxa"/>
            <w:vAlign w:val="center"/>
          </w:tcPr>
          <w:p w14:paraId="0000009B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25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Cunoștințe</w:t>
            </w:r>
          </w:p>
        </w:tc>
        <w:tc>
          <w:tcPr>
            <w:tcW w:w="7301" w:type="dxa"/>
          </w:tcPr>
          <w:p w14:paraId="570DDD85" w14:textId="77777777" w:rsidR="00950C7D" w:rsidRPr="005E7C9D" w:rsidRDefault="00950C7D" w:rsidP="00950C7D">
            <w:pPr>
              <w:pStyle w:val="ListParagraph"/>
              <w:numPr>
                <w:ilvl w:val="0"/>
                <w:numId w:val="4"/>
              </w:numPr>
              <w:rPr>
                <w:rFonts w:ascii="Times New Roman" w:hAnsi="Times New Roman" w:cs="Times New Roman"/>
              </w:rPr>
            </w:pPr>
            <w:bookmarkStart w:id="1" w:name="_Hlk177058559"/>
            <w:bookmarkStart w:id="2" w:name="_Hlk177058570"/>
            <w:r w:rsidRPr="005E7C9D">
              <w:rPr>
                <w:rFonts w:ascii="Times New Roman" w:hAnsi="Times New Roman" w:cs="Times New Roman"/>
              </w:rPr>
              <w:t xml:space="preserve">să demonstreze cunoașterea principiilor diversității, incluziunii, egalității de gen, precum și a celor de design universal al învățării și a abordărilor bazate pe justiție sociale în relație cu procesele de predare-învățare-evaluare, </w:t>
            </w:r>
          </w:p>
          <w:bookmarkEnd w:id="1"/>
          <w:p w14:paraId="49F808D7" w14:textId="77777777" w:rsidR="00950C7D" w:rsidRPr="005E7C9D" w:rsidRDefault="00950C7D" w:rsidP="00950C7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5E7C9D">
              <w:rPr>
                <w:rFonts w:ascii="Times New Roman" w:hAnsi="Times New Roman" w:cs="Times New Roman"/>
              </w:rPr>
              <w:t xml:space="preserve">să identifice metode și tehnici eficiente de evaluare a performanțelor studenților și de acordare a feedbackului, în funcție de specificul disciplinelor predate și a </w:t>
            </w:r>
            <w:bookmarkStart w:id="3" w:name="_Hlk177058672"/>
            <w:r w:rsidRPr="005E7C9D">
              <w:rPr>
                <w:rFonts w:ascii="Times New Roman" w:hAnsi="Times New Roman" w:cs="Times New Roman"/>
              </w:rPr>
              <w:t>caracteristicilor grupului de studenți</w:t>
            </w:r>
            <w:bookmarkEnd w:id="3"/>
            <w:r w:rsidRPr="005E7C9D">
              <w:rPr>
                <w:rFonts w:ascii="Times New Roman" w:hAnsi="Times New Roman" w:cs="Times New Roman"/>
              </w:rPr>
              <w:t>;</w:t>
            </w:r>
          </w:p>
          <w:p w14:paraId="0000009C" w14:textId="4B77EB8F" w:rsidR="0092440D" w:rsidRPr="005E7C9D" w:rsidRDefault="00950C7D" w:rsidP="00950C7D">
            <w:pPr>
              <w:pStyle w:val="ListParagraph"/>
              <w:numPr>
                <w:ilvl w:val="0"/>
                <w:numId w:val="4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5E7C9D">
              <w:rPr>
                <w:rFonts w:ascii="Times New Roman" w:hAnsi="Times New Roman" w:cs="Times New Roman"/>
              </w:rPr>
              <w:t xml:space="preserve">să descrie diverse scenarii de integrare a principiilor de design universal al învățării și a abordărilor bazate pe justiție social în relație cu procesele de predare-învățare-evaluare. </w:t>
            </w:r>
            <w:r w:rsidR="00651735" w:rsidRPr="005E7C9D">
              <w:rPr>
                <w:rFonts w:ascii="Times New Roman" w:hAnsi="Times New Roman" w:cs="Times New Roman"/>
              </w:rPr>
              <w:t xml:space="preserve"> </w:t>
            </w:r>
            <w:bookmarkEnd w:id="2"/>
          </w:p>
        </w:tc>
      </w:tr>
      <w:tr w:rsidR="0092440D" w:rsidRPr="00950C7D" w14:paraId="5ADAF212" w14:textId="77777777" w:rsidTr="00950C7D">
        <w:trPr>
          <w:trHeight w:val="368"/>
        </w:trPr>
        <w:tc>
          <w:tcPr>
            <w:tcW w:w="2402" w:type="dxa"/>
            <w:vAlign w:val="center"/>
          </w:tcPr>
          <w:p w14:paraId="0000009D" w14:textId="77777777" w:rsidR="0092440D" w:rsidRPr="00950C7D" w:rsidRDefault="00000000" w:rsidP="00950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Abilități</w:t>
            </w:r>
          </w:p>
        </w:tc>
        <w:tc>
          <w:tcPr>
            <w:tcW w:w="7301" w:type="dxa"/>
          </w:tcPr>
          <w:p w14:paraId="0000009E" w14:textId="5AE37D1B" w:rsidR="0092440D" w:rsidRPr="005E7C9D" w:rsidRDefault="00651735" w:rsidP="00950C7D">
            <w:pPr>
              <w:pStyle w:val="ListParagraph"/>
              <w:widowControl w:val="0"/>
              <w:numPr>
                <w:ilvl w:val="0"/>
                <w:numId w:val="8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hAnsi="Times New Roman" w:cs="Times New Roman"/>
              </w:rPr>
            </w:pPr>
            <w:r w:rsidRPr="005E7C9D">
              <w:rPr>
                <w:rFonts w:ascii="Times New Roman" w:hAnsi="Times New Roman" w:cs="Times New Roman"/>
              </w:rPr>
              <w:t>Să proiecteze activități didactice care promovează diversitatea, egalitatea de șanse și gen, respectiv incluziunea studenților cu cerințe educaționale speciale</w:t>
            </w:r>
          </w:p>
        </w:tc>
      </w:tr>
      <w:tr w:rsidR="0092440D" w:rsidRPr="00950C7D" w14:paraId="1C857748" w14:textId="77777777" w:rsidTr="00950C7D">
        <w:trPr>
          <w:trHeight w:val="2091"/>
        </w:trPr>
        <w:tc>
          <w:tcPr>
            <w:tcW w:w="2402" w:type="dxa"/>
            <w:vAlign w:val="center"/>
          </w:tcPr>
          <w:p w14:paraId="0000009F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Responsabilitate și autonomie</w:t>
            </w:r>
          </w:p>
        </w:tc>
        <w:tc>
          <w:tcPr>
            <w:tcW w:w="7301" w:type="dxa"/>
          </w:tcPr>
          <w:p w14:paraId="2A3F0018" w14:textId="4ED554B9" w:rsidR="00651735" w:rsidRPr="005E7C9D" w:rsidRDefault="00651735" w:rsidP="00950C7D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5E7C9D">
              <w:rPr>
                <w:rFonts w:ascii="Times New Roman" w:eastAsia="Times New Roman" w:hAnsi="Times New Roman" w:cs="Times New Roman"/>
              </w:rPr>
              <w:t>Să promoveze integritatea academică și valorile etice în rândul studenților;</w:t>
            </w:r>
          </w:p>
          <w:p w14:paraId="4DF35FFA" w14:textId="116E3E86" w:rsidR="00651735" w:rsidRPr="005E7C9D" w:rsidRDefault="00651735" w:rsidP="00950C7D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eastAsiaTheme="minorHAnsi" w:hAnsi="Times New Roman" w:cs="Times New Roman"/>
              </w:rPr>
            </w:pPr>
            <w:r w:rsidRPr="005E7C9D">
              <w:rPr>
                <w:rFonts w:ascii="Times New Roman" w:eastAsia="Times New Roman" w:hAnsi="Times New Roman" w:cs="Times New Roman"/>
              </w:rPr>
              <w:t>Să manifeste o atitudine deschisă și respectuoasă față de diversitatea culturală și individuală în mediul universitar;</w:t>
            </w:r>
          </w:p>
          <w:p w14:paraId="0CB5C9B3" w14:textId="28CF4867" w:rsidR="00651735" w:rsidRPr="005E7C9D" w:rsidRDefault="00651735" w:rsidP="00950C7D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5E7C9D">
              <w:rPr>
                <w:rFonts w:ascii="Times New Roman" w:eastAsia="Times New Roman" w:hAnsi="Times New Roman" w:cs="Times New Roman"/>
              </w:rPr>
              <w:t>Să promoveze responsabilitatea civică și implicarea socială în rândul studenților;</w:t>
            </w:r>
          </w:p>
          <w:p w14:paraId="000000A0" w14:textId="73788E5B" w:rsidR="0092440D" w:rsidRPr="005E7C9D" w:rsidRDefault="00651735" w:rsidP="00950C7D">
            <w:pPr>
              <w:pStyle w:val="ListParagraph"/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5E7C9D">
              <w:rPr>
                <w:rFonts w:ascii="Times New Roman" w:hAnsi="Times New Roman" w:cs="Times New Roman"/>
              </w:rPr>
              <w:t xml:space="preserve">Să promoveze diversitatea, incluziunea și egalitatea de gen în învățământul superior. </w:t>
            </w:r>
          </w:p>
        </w:tc>
      </w:tr>
    </w:tbl>
    <w:p w14:paraId="000000A1" w14:textId="77777777" w:rsidR="0092440D" w:rsidRPr="00950C7D" w:rsidRDefault="0092440D">
      <w:pPr>
        <w:spacing w:after="0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000000A3" w14:textId="77777777" w:rsidR="0092440D" w:rsidRPr="00950C7D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967"/>
        </w:tabs>
        <w:spacing w:after="0" w:line="276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50C7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Conținuturi</w:t>
      </w:r>
    </w:p>
    <w:tbl>
      <w:tblPr>
        <w:tblStyle w:val="a5"/>
        <w:tblW w:w="9689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4469"/>
        <w:gridCol w:w="3510"/>
        <w:gridCol w:w="1710"/>
      </w:tblGrid>
      <w:tr w:rsidR="0092440D" w:rsidRPr="00950C7D" w14:paraId="473DB75C" w14:textId="77777777" w:rsidTr="00F12DC4">
        <w:trPr>
          <w:trHeight w:val="251"/>
        </w:trPr>
        <w:tc>
          <w:tcPr>
            <w:tcW w:w="4469" w:type="dxa"/>
          </w:tcPr>
          <w:p w14:paraId="000000A4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7.1. Curs</w:t>
            </w:r>
          </w:p>
        </w:tc>
        <w:tc>
          <w:tcPr>
            <w:tcW w:w="3510" w:type="dxa"/>
          </w:tcPr>
          <w:p w14:paraId="000000A5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430" w:right="42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Metode de predare</w:t>
            </w:r>
          </w:p>
        </w:tc>
        <w:tc>
          <w:tcPr>
            <w:tcW w:w="1710" w:type="dxa"/>
          </w:tcPr>
          <w:p w14:paraId="000000A6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45" w:right="18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Observații</w:t>
            </w:r>
          </w:p>
        </w:tc>
      </w:tr>
      <w:tr w:rsidR="0092440D" w:rsidRPr="00950C7D" w14:paraId="25B012B9" w14:textId="77777777" w:rsidTr="00F12DC4">
        <w:trPr>
          <w:trHeight w:val="253"/>
        </w:trPr>
        <w:tc>
          <w:tcPr>
            <w:tcW w:w="4469" w:type="dxa"/>
          </w:tcPr>
          <w:p w14:paraId="000000A7" w14:textId="64BD621E" w:rsidR="0092440D" w:rsidRPr="00950C7D" w:rsidRDefault="005D3E8C" w:rsidP="005D3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Introducere în echitate, diversitate și incluziune </w:t>
            </w:r>
            <w:r w:rsidR="00027635"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– rolul social al universității și răspunderea etică a cadrelor didactice </w:t>
            </w:r>
          </w:p>
        </w:tc>
        <w:tc>
          <w:tcPr>
            <w:tcW w:w="3510" w:type="dxa"/>
          </w:tcPr>
          <w:p w14:paraId="000000A8" w14:textId="103060AE" w:rsidR="0092440D" w:rsidRPr="00950C7D" w:rsidRDefault="005D3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000000A9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2923044E" w14:textId="77777777" w:rsidTr="00F12DC4">
        <w:trPr>
          <w:trHeight w:val="253"/>
        </w:trPr>
        <w:tc>
          <w:tcPr>
            <w:tcW w:w="4469" w:type="dxa"/>
          </w:tcPr>
          <w:p w14:paraId="6F356122" w14:textId="6458D00C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Intersecționalitate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, marginalizare identitară și socio-economică </w:t>
            </w:r>
          </w:p>
        </w:tc>
        <w:tc>
          <w:tcPr>
            <w:tcW w:w="3510" w:type="dxa"/>
          </w:tcPr>
          <w:p w14:paraId="6DDC472A" w14:textId="2F3122BF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36A3132A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6ECB15ED" w14:textId="77777777" w:rsidTr="00F12DC4">
        <w:trPr>
          <w:trHeight w:val="251"/>
        </w:trPr>
        <w:tc>
          <w:tcPr>
            <w:tcW w:w="4469" w:type="dxa"/>
            <w:tcBorders>
              <w:bottom w:val="single" w:sz="6" w:space="0" w:color="000000"/>
            </w:tcBorders>
          </w:tcPr>
          <w:p w14:paraId="000000AA" w14:textId="2803EAF6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Accesul inegal la învățământ superior: Inegalitatea socio-economică și sistemul educațional </w:t>
            </w:r>
          </w:p>
        </w:tc>
        <w:tc>
          <w:tcPr>
            <w:tcW w:w="3510" w:type="dxa"/>
            <w:tcBorders>
              <w:bottom w:val="single" w:sz="6" w:space="0" w:color="000000"/>
            </w:tcBorders>
          </w:tcPr>
          <w:p w14:paraId="000000AB" w14:textId="1AF22C92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  <w:tcBorders>
              <w:bottom w:val="single" w:sz="6" w:space="0" w:color="000000"/>
            </w:tcBorders>
          </w:tcPr>
          <w:p w14:paraId="000000AC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4D5C91A5" w14:textId="77777777" w:rsidTr="00F12DC4">
        <w:trPr>
          <w:trHeight w:val="251"/>
        </w:trPr>
        <w:tc>
          <w:tcPr>
            <w:tcW w:w="4469" w:type="dxa"/>
            <w:tcBorders>
              <w:bottom w:val="single" w:sz="6" w:space="0" w:color="000000"/>
            </w:tcBorders>
          </w:tcPr>
          <w:p w14:paraId="7D5708C9" w14:textId="1112248F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Egalitatea de șanse și problematica de gen: inegalitate de gen, hărțuire etc. </w:t>
            </w:r>
          </w:p>
        </w:tc>
        <w:tc>
          <w:tcPr>
            <w:tcW w:w="3510" w:type="dxa"/>
            <w:tcBorders>
              <w:bottom w:val="single" w:sz="6" w:space="0" w:color="000000"/>
            </w:tcBorders>
          </w:tcPr>
          <w:p w14:paraId="0EF8F132" w14:textId="640E92A9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  <w:tcBorders>
              <w:bottom w:val="single" w:sz="6" w:space="0" w:color="000000"/>
            </w:tcBorders>
          </w:tcPr>
          <w:p w14:paraId="7F49CD79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00151352" w14:textId="77777777" w:rsidTr="00F12DC4">
        <w:trPr>
          <w:trHeight w:val="249"/>
        </w:trPr>
        <w:tc>
          <w:tcPr>
            <w:tcW w:w="4469" w:type="dxa"/>
            <w:tcBorders>
              <w:top w:val="single" w:sz="6" w:space="0" w:color="000000"/>
            </w:tcBorders>
          </w:tcPr>
          <w:p w14:paraId="000000AD" w14:textId="03A67A28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Abordări ale echității în învățământul superior (I): Acțiuni afirmative în învățământul superior</w:t>
            </w:r>
          </w:p>
        </w:tc>
        <w:tc>
          <w:tcPr>
            <w:tcW w:w="3510" w:type="dxa"/>
            <w:tcBorders>
              <w:top w:val="single" w:sz="6" w:space="0" w:color="000000"/>
            </w:tcBorders>
          </w:tcPr>
          <w:p w14:paraId="000000AE" w14:textId="63C8545A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  <w:tcBorders>
              <w:top w:val="single" w:sz="6" w:space="0" w:color="000000"/>
            </w:tcBorders>
          </w:tcPr>
          <w:p w14:paraId="000000AF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4392EBC2" w14:textId="77777777" w:rsidTr="00F12DC4">
        <w:trPr>
          <w:trHeight w:val="254"/>
        </w:trPr>
        <w:tc>
          <w:tcPr>
            <w:tcW w:w="4469" w:type="dxa"/>
          </w:tcPr>
          <w:p w14:paraId="000000B0" w14:textId="08E0BF63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Abordări ale echității în învățământul superior (II): 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Homo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academicus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și curriculum ascuns </w:t>
            </w:r>
          </w:p>
        </w:tc>
        <w:tc>
          <w:tcPr>
            <w:tcW w:w="3510" w:type="dxa"/>
          </w:tcPr>
          <w:p w14:paraId="000000B1" w14:textId="4A53C272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000000B2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1268A6C8" w14:textId="77777777" w:rsidTr="00F12DC4">
        <w:trPr>
          <w:trHeight w:val="254"/>
        </w:trPr>
        <w:tc>
          <w:tcPr>
            <w:tcW w:w="4469" w:type="dxa"/>
          </w:tcPr>
          <w:p w14:paraId="5D69B755" w14:textId="329EB7CF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Abordări ale diversității în învățământul superior (I): producerea cunoașterii și eurocentrismul; evitarea reprezentărilor stigmatizatoare a grupurilor marginalizate</w:t>
            </w:r>
          </w:p>
        </w:tc>
        <w:tc>
          <w:tcPr>
            <w:tcW w:w="3510" w:type="dxa"/>
          </w:tcPr>
          <w:p w14:paraId="3BAB116B" w14:textId="560ED88D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2CC81209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58A4099E" w14:textId="77777777" w:rsidTr="00F12DC4">
        <w:trPr>
          <w:trHeight w:val="254"/>
        </w:trPr>
        <w:tc>
          <w:tcPr>
            <w:tcW w:w="4469" w:type="dxa"/>
          </w:tcPr>
          <w:p w14:paraId="66324298" w14:textId="31C81B33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Abordări ale diversității în învățământul superior (II): justiție citațională și design echitabil curricular</w:t>
            </w:r>
          </w:p>
        </w:tc>
        <w:tc>
          <w:tcPr>
            <w:tcW w:w="3510" w:type="dxa"/>
          </w:tcPr>
          <w:p w14:paraId="3131B5CF" w14:textId="33D9BB2E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5B1891F3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5160CC5F" w14:textId="77777777" w:rsidTr="00F12DC4">
        <w:trPr>
          <w:trHeight w:val="254"/>
        </w:trPr>
        <w:tc>
          <w:tcPr>
            <w:tcW w:w="4469" w:type="dxa"/>
          </w:tcPr>
          <w:p w14:paraId="6E6253D9" w14:textId="53B1EB5C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Dizabilitatea în mediul academic: expertiză prin experiență și critica 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abilitismului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în mediul universitar</w:t>
            </w:r>
          </w:p>
        </w:tc>
        <w:tc>
          <w:tcPr>
            <w:tcW w:w="3510" w:type="dxa"/>
          </w:tcPr>
          <w:p w14:paraId="4D37AC55" w14:textId="57938244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6BDB267F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7A8B4513" w14:textId="77777777" w:rsidTr="00F12DC4">
        <w:trPr>
          <w:trHeight w:val="254"/>
        </w:trPr>
        <w:tc>
          <w:tcPr>
            <w:tcW w:w="4469" w:type="dxa"/>
          </w:tcPr>
          <w:p w14:paraId="3A09090E" w14:textId="2F5BB751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Abordări ale incluziunii în mediul academic: principii de design universal al învățării și critica universalismului</w:t>
            </w:r>
          </w:p>
        </w:tc>
        <w:tc>
          <w:tcPr>
            <w:tcW w:w="3510" w:type="dxa"/>
          </w:tcPr>
          <w:p w14:paraId="07AD33BC" w14:textId="0911944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1AA65804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5C8575DC" w14:textId="77777777" w:rsidTr="00F12DC4">
        <w:trPr>
          <w:trHeight w:val="254"/>
        </w:trPr>
        <w:tc>
          <w:tcPr>
            <w:tcW w:w="4469" w:type="dxa"/>
          </w:tcPr>
          <w:p w14:paraId="59456D9F" w14:textId="5C1701C1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Planificare didactică inclusivă, echitabilă și orientată spre diversitate</w:t>
            </w:r>
          </w:p>
        </w:tc>
        <w:tc>
          <w:tcPr>
            <w:tcW w:w="3510" w:type="dxa"/>
          </w:tcPr>
          <w:p w14:paraId="578B5C7B" w14:textId="7180F5B9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1867ADDB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0DDC49D1" w14:textId="77777777" w:rsidTr="00F12DC4">
        <w:trPr>
          <w:trHeight w:val="254"/>
        </w:trPr>
        <w:tc>
          <w:tcPr>
            <w:tcW w:w="4469" w:type="dxa"/>
          </w:tcPr>
          <w:p w14:paraId="48E41E07" w14:textId="79AB2546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Implementarea planificării didactice inclusive, echitabile și orientate spre diversitate</w:t>
            </w:r>
          </w:p>
        </w:tc>
        <w:tc>
          <w:tcPr>
            <w:tcW w:w="3510" w:type="dxa"/>
          </w:tcPr>
          <w:p w14:paraId="7260C436" w14:textId="20FB285B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05544B60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71848E09" w14:textId="77777777" w:rsidTr="00F12DC4">
        <w:trPr>
          <w:trHeight w:val="254"/>
        </w:trPr>
        <w:tc>
          <w:tcPr>
            <w:tcW w:w="4469" w:type="dxa"/>
          </w:tcPr>
          <w:p w14:paraId="630BA47F" w14:textId="35C1D84E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Evaluarea rezultatelor studenților/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telor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în perspectivă echitabilă</w:t>
            </w:r>
          </w:p>
        </w:tc>
        <w:tc>
          <w:tcPr>
            <w:tcW w:w="3510" w:type="dxa"/>
          </w:tcPr>
          <w:p w14:paraId="50B29179" w14:textId="08B4E27A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</w:tc>
        <w:tc>
          <w:tcPr>
            <w:tcW w:w="1710" w:type="dxa"/>
          </w:tcPr>
          <w:p w14:paraId="6D83BA07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F12DC4" w:rsidRPr="00950C7D" w14:paraId="4BDE78B1" w14:textId="77777777" w:rsidTr="00F12DC4">
        <w:trPr>
          <w:trHeight w:val="254"/>
        </w:trPr>
        <w:tc>
          <w:tcPr>
            <w:tcW w:w="4469" w:type="dxa"/>
          </w:tcPr>
          <w:p w14:paraId="2B773A63" w14:textId="08564012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Curs sintetic la alegerea participanților/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telor</w:t>
            </w:r>
            <w:proofErr w:type="spellEnd"/>
          </w:p>
        </w:tc>
        <w:tc>
          <w:tcPr>
            <w:tcW w:w="3510" w:type="dxa"/>
          </w:tcPr>
          <w:p w14:paraId="23841C3E" w14:textId="77777777" w:rsidR="00F12DC4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Discuție problematizantă, expunere </w:t>
            </w:r>
          </w:p>
          <w:p w14:paraId="1807BB96" w14:textId="0D20C9B3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10" w:type="dxa"/>
          </w:tcPr>
          <w:p w14:paraId="7BB4383D" w14:textId="77777777" w:rsidR="00F12DC4" w:rsidRPr="00950C7D" w:rsidRDefault="00F12DC4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766B4971" w14:textId="77777777">
        <w:trPr>
          <w:trHeight w:val="505"/>
        </w:trPr>
        <w:tc>
          <w:tcPr>
            <w:tcW w:w="9689" w:type="dxa"/>
            <w:gridSpan w:val="3"/>
          </w:tcPr>
          <w:p w14:paraId="000000B3" w14:textId="77777777" w:rsidR="0092440D" w:rsidRPr="00950C7D" w:rsidRDefault="00000000" w:rsidP="00AD1DE3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" w:firstLine="709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Bibliografie:</w:t>
            </w:r>
          </w:p>
          <w:p w14:paraId="0DB60D2D" w14:textId="4FB8E64E" w:rsidR="009A2736" w:rsidRPr="00D1518E" w:rsidRDefault="0031618E" w:rsidP="00EB08B5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" w:firstLine="709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b/>
                <w:color w:val="000000"/>
              </w:rPr>
              <w:t>Obligatorie</w:t>
            </w:r>
          </w:p>
          <w:p w14:paraId="0AC6FFFB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Ahead (NN) UDL &amp; the Continuum of Supports. </w:t>
            </w:r>
            <w:hyperlink r:id="rId9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https://www.ahead.ie/udl-pyramid</w:t>
              </w:r>
            </w:hyperlink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</w:p>
          <w:p w14:paraId="0F56EB92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Ahmed, S. I.,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Amrute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, S.,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Bardzell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, J.,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Bardzell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 S., Bidwell, N., Dillahunt, T., ... &amp; Wong-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Villacrés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 M. (2022). Citational justice and the politics of knowledge production.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interactions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29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(5), 78-82.</w:t>
            </w:r>
          </w:p>
          <w:p w14:paraId="1497FA09" w14:textId="274BC27C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Cantat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, C., Cook, I. M., &amp; Rajaram, P. </w:t>
            </w:r>
            <w:proofErr w:type="gram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K .</w:t>
            </w:r>
            <w:proofErr w:type="gram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(2022) Introduction in Celine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Cantat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 Ian M. Cook, &amp; Prem Kumar Rajaram, (Eds.). (2022).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Opening Up the University: teaching and learning with refugees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 (Vol. 5).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Berghahn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Books, pp. 1-30.</w:t>
            </w:r>
          </w:p>
          <w:p w14:paraId="255FF560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Collective, C. J., Molina León, G., Kirabo, L., Wong-Villacres, M.,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Karusala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 N., Kumar, N., ... &amp; Sharma, V. (2021, October). Following the trail of citational justice: critically examining knowledge production in HCI. In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Companion Publication of the 2021 Conference on Computer Supported Cooperative Work and Social Computing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 (pp. 360-363).</w:t>
            </w:r>
          </w:p>
          <w:p w14:paraId="6D553000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Collins, P.H. (2021)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Intersecționalitate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(trad. 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pt-BR"/>
              </w:rPr>
              <w:t xml:space="preserve">Cătălina Stanislav și Anca-Simina Martin).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Editura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Universității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Lucian Blaga din Sibiu.  </w:t>
            </w:r>
          </w:p>
          <w:p w14:paraId="781F5ED1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Cook-Sather, A. (2016). Creating brave spaces within and through student-faculty pedagogical partnerships.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Teaching and Learning Together in Higher Education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1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(18), 1.</w:t>
            </w:r>
          </w:p>
          <w:p w14:paraId="66856AA4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Cornish, Flora, Breton, Nancy, Moreno-Tabarez, Ulises, Delgado, Jenna, Rua,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Mohi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 de-Graft Aikins, Ama, &amp; Hodgetts, Darrin (2023). Participatory action research.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Nature Reviews Methods Primers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3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(1), 34. </w:t>
            </w:r>
            <w:hyperlink r:id="rId10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https://doi.org/10.1038/s43586-023-00214-1</w:t>
              </w:r>
            </w:hyperlink>
          </w:p>
          <w:p w14:paraId="2758F304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Crenshaw,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Kimberlé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W. (1989). Demarginalizing the Intersection of Race and Sex: A Black Feminist Critique of Antidiscrimination Doctrine, Feminist Theory and Antiracist Politics. 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University of Chicago Legal Forum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 1(8).</w:t>
            </w:r>
          </w:p>
          <w:p w14:paraId="1A6FA757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Dadze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‐Arthur, A., &amp; Mangai, M. S. (2024). The journal and the quest for epistemic justice.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Public Administration and Development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</w:t>
            </w:r>
          </w:p>
          <w:p w14:paraId="487361A3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Mitrasinovic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, Miodrag (2008). Universal Design. In: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Erlhoff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, Michael, Marshall, Tim (Eds.) 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Design Dictionary. Board of International Research in Design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.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Birkhäuser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Basel. </w:t>
            </w:r>
          </w:p>
          <w:p w14:paraId="0D758A6D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Smith, C. (2022). THE RISE OF CITATIONAL JUSTICE.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Nature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603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.</w:t>
            </w:r>
          </w:p>
          <w:p w14:paraId="714C33C3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Soudien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 C. (2020). Complexities of difference and their significance for managing inequality in learning: Lessons from the COVID-19 crisis.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Prospects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49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(1), 59-67.</w:t>
            </w:r>
          </w:p>
          <w:p w14:paraId="136ABA93" w14:textId="77777777" w:rsidR="00AD1DE3" w:rsidRPr="00D1518E" w:rsidRDefault="00AD1DE3" w:rsidP="00AD1DE3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Universal Design (NN). 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 xml:space="preserve">What is </w:t>
            </w:r>
            <w:proofErr w:type="spellStart"/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univeral</w:t>
            </w:r>
            <w:proofErr w:type="spellEnd"/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 xml:space="preserve"> design?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https://universaldesign.org/definition  </w:t>
            </w:r>
          </w:p>
          <w:p w14:paraId="44E4C6FC" w14:textId="7D63213E" w:rsidR="00EB08B5" w:rsidRPr="00D1518E" w:rsidRDefault="00EB08B5" w:rsidP="00D1518E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ind w:left="31" w:firstLine="709"/>
              <w:rPr>
                <w:rFonts w:ascii="Times New Roman" w:eastAsia="Times New Roman" w:hAnsi="Times New Roman" w:cs="Times New Roman"/>
                <w:b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b/>
                <w:color w:val="000000"/>
              </w:rPr>
              <w:t>Suplimentară</w:t>
            </w:r>
          </w:p>
          <w:p w14:paraId="3C48B9F2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Cantat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, C. (2022) The Politics of University Access and Refugee Higher Education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Programmes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: Can the Contemporary University Be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>Openened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in 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Celine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Cantat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Ian M. Cook, &amp; Prem Kumar Rajaram, (Eds.). (2022).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Opening Up the University: teaching and learning with refugees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 (Vol. 5).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Berghahn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Books, pp. 89-110.</w:t>
            </w:r>
          </w:p>
          <w:p w14:paraId="4D123A2D" w14:textId="77777777" w:rsidR="00EB08B5" w:rsidRPr="00D1518E" w:rsidRDefault="00EB08B5" w:rsidP="00EB08B5">
            <w:pPr>
              <w:rPr>
                <w:rFonts w:ascii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lastRenderedPageBreak/>
              <w:t xml:space="preserve">Cho, Sumi, Crenshaw,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  <w:lang w:val="en-US"/>
              </w:rPr>
              <w:t>Kimberlé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  <w:lang w:val="en-US"/>
              </w:rPr>
              <w:t xml:space="preserve"> 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W. &amp; McCall, Leslie (2013). Toward a Field of Intersectionality Studies: Theory, Applications, and Praxis. 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Signs, 38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(4):785-810. </w:t>
            </w:r>
            <w:hyperlink r:id="rId11" w:history="1">
              <w:r w:rsidRPr="00D1518E">
                <w:rPr>
                  <w:rStyle w:val="Hyperlink"/>
                  <w:rFonts w:ascii="Times New Roman" w:hAnsi="Times New Roman" w:cs="Times New Roman"/>
                  <w:sz w:val="20"/>
                  <w:szCs w:val="20"/>
                  <w:lang w:val="en-US"/>
                </w:rPr>
                <w:t>https://doi.org/10.1086/669608</w:t>
              </w:r>
            </w:hyperlink>
            <w:r w:rsidRPr="00D1518E">
              <w:rPr>
                <w:rFonts w:ascii="Times New Roman" w:hAnsi="Times New Roman" w:cs="Times New Roman"/>
                <w:sz w:val="20"/>
                <w:szCs w:val="20"/>
                <w:lang w:val="en-US"/>
              </w:rPr>
              <w:t xml:space="preserve"> </w:t>
            </w:r>
          </w:p>
          <w:p w14:paraId="4F4EB234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Coffman, Sherrilyn, &amp; Draper, Christine (2022). Universal design for learning in higher education: A concept analysis.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Teaching and Learning in Nursing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17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(1), 36-41. </w:t>
            </w:r>
          </w:p>
          <w:p w14:paraId="19175746" w14:textId="77777777" w:rsidR="00EB08B5" w:rsidRPr="00D1518E" w:rsidRDefault="00EB08B5" w:rsidP="00EB08B5">
            <w:pPr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  <w:lang w:val="en-US"/>
              </w:rPr>
            </w:pPr>
            <w:r w:rsidRPr="00D1518E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  <w:lang w:val="en-US"/>
              </w:rPr>
              <w:t xml:space="preserve">Crenshaw, </w:t>
            </w:r>
            <w:proofErr w:type="spellStart"/>
            <w:r w:rsidRPr="00D1518E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  <w:lang w:val="en-US"/>
              </w:rPr>
              <w:t>Kimberlé</w:t>
            </w:r>
            <w:proofErr w:type="spellEnd"/>
            <w:r w:rsidRPr="00D1518E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  <w:lang w:val="en-US"/>
              </w:rPr>
              <w:t xml:space="preserve"> W. (Ed.). (2017).</w:t>
            </w:r>
            <w:r w:rsidRPr="00D1518E">
              <w:rPr>
                <w:rStyle w:val="apple-converted-space"/>
                <w:rFonts w:ascii="Times New Roman" w:hAnsi="Times New Roman" w:cs="Times New Roman"/>
                <w:sz w:val="20"/>
                <w:szCs w:val="20"/>
                <w:shd w:val="clear" w:color="auto" w:fill="FFFFFF"/>
                <w:lang w:val="en-US"/>
              </w:rPr>
              <w:t> </w:t>
            </w:r>
            <w:r w:rsidRPr="00D1518E">
              <w:rPr>
                <w:rFonts w:ascii="Times New Roman" w:hAnsi="Times New Roman" w:cs="Times New Roman"/>
                <w:i/>
                <w:iCs/>
                <w:sz w:val="20"/>
                <w:szCs w:val="20"/>
                <w:lang w:val="en-US"/>
              </w:rPr>
              <w:t>On intersectionality: Essential writings</w:t>
            </w:r>
            <w:r w:rsidRPr="00D1518E">
              <w:rPr>
                <w:rFonts w:ascii="Times New Roman" w:hAnsi="Times New Roman" w:cs="Times New Roman"/>
                <w:sz w:val="20"/>
                <w:szCs w:val="20"/>
                <w:shd w:val="clear" w:color="auto" w:fill="FFFFFF"/>
                <w:lang w:val="en-US"/>
              </w:rPr>
              <w:t>. The New Press.</w:t>
            </w:r>
          </w:p>
          <w:p w14:paraId="2F7BDEDD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Fovet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Frederic (2020). Universal design for learning as a tool for inclusion in the higher education classroom: Tips for the next decade of implementation.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Education journal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9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(6), 163-172. </w:t>
            </w:r>
            <w:hyperlink r:id="rId12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https://doi.org/10.11648/j.edu.20200906.13</w:t>
              </w:r>
            </w:hyperlink>
          </w:p>
          <w:p w14:paraId="3E21943C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Godden, Richard, &amp;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Hsy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Jonathan (2018). Universal design and its discontents. In Dorothy Him &amp; Jesse Stommel (Eds.),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Disrupting the Digital Humanities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(pp. 91-116). Punctum Books</w:t>
            </w:r>
          </w:p>
          <w:p w14:paraId="2940945F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Imrie, Rob (2012). Universalism, universal design and equitable access to the built environment.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Disability and rehabilitation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34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(10), 873-882. </w:t>
            </w:r>
            <w:hyperlink r:id="rId13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https://doi.org/10.3109/09638288.2011.624250</w:t>
              </w:r>
            </w:hyperlink>
          </w:p>
          <w:p w14:paraId="2D88BA6F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Paige, F., Oliveros, C., &amp; Reneau, C. M. (2020). From the safe space of professionalism to the brave space of community: The About Campus writers retreat as soul work.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About Campus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25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(1), 19-23.</w:t>
            </w:r>
          </w:p>
          <w:p w14:paraId="7164F775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Perez-Putnam, M. (2016). Belonging and brave space as hope for personal and institutional inclusion.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Teaching and Learning Together in Higher Education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1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(18), 2.</w:t>
            </w:r>
          </w:p>
          <w:p w14:paraId="49763A1D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Quirke, Mary, Mc Guckin, Conor, &amp; McCarthy, Patricia (2023).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Adopting a UDL Attitude Within Academia: Understanding and Practicing Inclusion Across Higher Education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. Routledge.</w:t>
            </w:r>
          </w:p>
          <w:p w14:paraId="57A0590E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Quirke, Mary, McCarthy, Patricia, Treanor, Declan, &amp; Mc Guckin, Conor (2018). </w:t>
            </w:r>
            <w:proofErr w:type="gram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Tomorrows</w:t>
            </w:r>
            <w:proofErr w:type="gram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Disability Officer-A Cornerstone on the Universal Design Campus ‘there are no strangers here–only friends you haven’t met yet”-WB Yeats. 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Universal Design &amp; Higher Education in Transformation Congress, 30th October -2nd November 2018, Dublin Castle.</w:t>
            </w:r>
          </w:p>
          <w:p w14:paraId="3D8544DA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Riitaoja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, A. L., Virtanen, A., Reiman, N., Lehtonen, T.,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Yli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-Jokipii, M.,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Udd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T., &amp; Peniche-Ferreira, L. (2022). Migrants at the university doorstep: How we unfairly deny access and what we could (should) do now.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Apples: Journal of Applied Language Studies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16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(2).</w:t>
            </w:r>
          </w:p>
          <w:p w14:paraId="3CAF4613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Safta-Zecheria, L. (2022) The Authoritarian Turn Against Academics in Turkey: Can Academics Still Show Solidarity to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Vulnerabilized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Groups in Celine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Cantat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Ian M. Cook, &amp; Prem Kumar Rajaram, (Eds.). (2022).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Opening Up the University: teaching and learning with refugees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 (Vol. 5).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Berghahn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 Books, pp. 78-88.</w:t>
            </w:r>
          </w:p>
          <w:p w14:paraId="2B200971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Safta-Zecheria, Leyla,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Trancă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, Loredana M., Jurca, Andra M.,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Borca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, Claudia V., &amp; Lazăr, Theofild A. (2024). Inclusive Research Strategies for Conducting Hybrid Photovoice with University Students with Visual and Other Disabilities. In Kasia Figiel (ed.) 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 xml:space="preserve">Sage Research Methods: Diversifying and Decolonizing Research. 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SAGE Publications, Ltd., </w:t>
            </w:r>
            <w:hyperlink r:id="rId14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sz w:val="20"/>
                  <w:szCs w:val="20"/>
                  <w:lang w:val="en-US"/>
                </w:rPr>
                <w:t>https://doi.org/10.4135/9781529689815</w:t>
              </w:r>
            </w:hyperlink>
          </w:p>
          <w:p w14:paraId="0716F2EB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Trancă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Loredana M., Safta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noBreakHyphen/>
              <w:t xml:space="preserve">Zecheria, Leyla,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Borca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 Claudia V., Lazăr, Theofild A., &amp; Jurca, Andra M. (2024). Proposals for an Inclusive Post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noBreakHyphen/>
              <w:t>Pandemic Hybrid University. 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Revista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 xml:space="preserve"> de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Asistență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Socială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/ Social Work Review, 23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 xml:space="preserve">(1), 133-151. </w:t>
            </w:r>
          </w:p>
          <w:p w14:paraId="1671E40F" w14:textId="77777777" w:rsidR="00EB08B5" w:rsidRPr="00D1518E" w:rsidRDefault="00EB08B5" w:rsidP="00EB08B5">
            <w:pPr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Verduzco-Baker, L. (2018). Modified brave spaces: Calling in brave instructors.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Sociology of Race and Ethnicity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, </w:t>
            </w:r>
            <w:r w:rsidRPr="00D1518E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  <w:lang w:val="en-US"/>
              </w:rPr>
              <w:t>4</w:t>
            </w:r>
            <w:r w:rsidRPr="00D1518E"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  <w:t>(4), 585-592.</w:t>
            </w:r>
          </w:p>
          <w:p w14:paraId="2A46E041" w14:textId="77777777" w:rsidR="00EB08B5" w:rsidRPr="00D1518E" w:rsidRDefault="00EB08B5" w:rsidP="00EB08B5">
            <w:pPr>
              <w:rPr>
                <w:rFonts w:ascii="Times New Roman" w:hAnsi="Times New Roman" w:cs="Times New Roman"/>
                <w:color w:val="222222"/>
                <w:sz w:val="20"/>
                <w:shd w:val="clear" w:color="auto" w:fill="FFFFFF"/>
                <w:lang w:val="en-US"/>
              </w:rPr>
            </w:pPr>
            <w:r w:rsidRPr="00D1518E">
              <w:rPr>
                <w:rFonts w:ascii="Times New Roman" w:hAnsi="Times New Roman" w:cs="Times New Roman"/>
                <w:color w:val="222222"/>
                <w:sz w:val="20"/>
                <w:shd w:val="clear" w:color="auto" w:fill="FFFFFF"/>
                <w:lang w:val="en-US"/>
              </w:rPr>
              <w:t xml:space="preserve">Wilken, Jean P., Knevel, Jeroen, van </w:t>
            </w:r>
            <w:proofErr w:type="spellStart"/>
            <w:r w:rsidRPr="00D1518E">
              <w:rPr>
                <w:rFonts w:ascii="Times New Roman" w:hAnsi="Times New Roman" w:cs="Times New Roman"/>
                <w:color w:val="222222"/>
                <w:sz w:val="20"/>
                <w:shd w:val="clear" w:color="auto" w:fill="FFFFFF"/>
                <w:lang w:val="en-US"/>
              </w:rPr>
              <w:t>Gijzel</w:t>
            </w:r>
            <w:proofErr w:type="spellEnd"/>
            <w:r w:rsidRPr="00D1518E">
              <w:rPr>
                <w:rFonts w:ascii="Times New Roman" w:hAnsi="Times New Roman" w:cs="Times New Roman"/>
                <w:color w:val="222222"/>
                <w:sz w:val="20"/>
                <w:shd w:val="clear" w:color="auto" w:fill="FFFFFF"/>
                <w:lang w:val="en-US"/>
              </w:rPr>
              <w:t xml:space="preserve">, Sascha., </w:t>
            </w:r>
            <w:proofErr w:type="spellStart"/>
            <w:r w:rsidRPr="00D1518E">
              <w:rPr>
                <w:rFonts w:ascii="Times New Roman" w:hAnsi="Times New Roman" w:cs="Times New Roman"/>
                <w:color w:val="222222"/>
                <w:sz w:val="20"/>
                <w:shd w:val="clear" w:color="auto" w:fill="FFFFFF"/>
                <w:lang w:val="en-US"/>
              </w:rPr>
              <w:t>Jongerius</w:t>
            </w:r>
            <w:proofErr w:type="spellEnd"/>
            <w:r w:rsidRPr="00D1518E">
              <w:rPr>
                <w:rFonts w:ascii="Times New Roman" w:hAnsi="Times New Roman" w:cs="Times New Roman"/>
                <w:color w:val="222222"/>
                <w:sz w:val="20"/>
                <w:shd w:val="clear" w:color="auto" w:fill="FFFFFF"/>
                <w:lang w:val="en-US"/>
              </w:rPr>
              <w:t>, Ellis, Landzaat, Caron, &amp; Nur-</w:t>
            </w:r>
            <w:proofErr w:type="spellStart"/>
            <w:r w:rsidRPr="00D1518E">
              <w:rPr>
                <w:rFonts w:ascii="Times New Roman" w:hAnsi="Times New Roman" w:cs="Times New Roman"/>
                <w:color w:val="222222"/>
                <w:sz w:val="20"/>
                <w:shd w:val="clear" w:color="auto" w:fill="FFFFFF"/>
                <w:lang w:val="en-US"/>
              </w:rPr>
              <w:t>Voskens</w:t>
            </w:r>
            <w:proofErr w:type="spellEnd"/>
            <w:r w:rsidRPr="00D1518E">
              <w:rPr>
                <w:rFonts w:ascii="Times New Roman" w:hAnsi="Times New Roman" w:cs="Times New Roman"/>
                <w:color w:val="222222"/>
                <w:sz w:val="20"/>
                <w:shd w:val="clear" w:color="auto" w:fill="FFFFFF"/>
                <w:lang w:val="en-US"/>
              </w:rPr>
              <w:t xml:space="preserve">, Idman (2020). Lessons of inclusive learning: the value of experiential knowledge of persons with a learning disability in social work education. In H. McLaughlin, Beresford, P., Cameron, C, Casey, H, &amp; J. Duffy (Eds.). </w:t>
            </w:r>
            <w:r w:rsidRPr="00D1518E">
              <w:rPr>
                <w:rFonts w:ascii="Times New Roman" w:hAnsi="Times New Roman" w:cs="Times New Roman"/>
                <w:i/>
                <w:iCs/>
                <w:color w:val="222222"/>
                <w:sz w:val="20"/>
                <w:shd w:val="clear" w:color="auto" w:fill="FFFFFF"/>
                <w:lang w:val="en-US"/>
              </w:rPr>
              <w:t>The Routledge Handbook of Service User Involvement in Human Services Research and Education</w:t>
            </w:r>
            <w:r w:rsidRPr="00D1518E">
              <w:rPr>
                <w:rFonts w:ascii="Times New Roman" w:hAnsi="Times New Roman" w:cs="Times New Roman"/>
                <w:color w:val="222222"/>
                <w:sz w:val="20"/>
                <w:shd w:val="clear" w:color="auto" w:fill="FFFFFF"/>
                <w:lang w:val="en-US"/>
              </w:rPr>
              <w:t> (pp. 385-402). Routledge.</w:t>
            </w:r>
          </w:p>
          <w:p w14:paraId="000000B6" w14:textId="7C15D80E" w:rsidR="005E3C4A" w:rsidRPr="00950C7D" w:rsidRDefault="00EB08B5" w:rsidP="00EB08B5">
            <w:pPr>
              <w:rPr>
                <w:rFonts w:ascii="Times New Roman" w:hAnsi="Times New Roman" w:cs="Times New Roman"/>
                <w:color w:val="222222"/>
                <w:szCs w:val="24"/>
                <w:shd w:val="clear" w:color="auto" w:fill="FFFFFF"/>
                <w:lang w:val="en-US"/>
              </w:rPr>
            </w:pPr>
            <w:r w:rsidRPr="00F12DC4">
              <w:rPr>
                <w:rFonts w:ascii="Times New Roman" w:eastAsia="Times New Roman" w:hAnsi="Times New Roman" w:cs="Times New Roman"/>
                <w:lang w:val="en-US"/>
              </w:rPr>
              <w:lastRenderedPageBreak/>
              <w:t>Winks, L. (2018). Discomfort, challenge and brave spaces in higher education. </w:t>
            </w:r>
            <w:r w:rsidRPr="00F12DC4">
              <w:rPr>
                <w:rFonts w:ascii="Times New Roman" w:eastAsia="Times New Roman" w:hAnsi="Times New Roman" w:cs="Times New Roman"/>
                <w:i/>
                <w:iCs/>
                <w:lang w:val="en-US"/>
              </w:rPr>
              <w:t>Implementing Sustainability in the Curriculum of Universities: Approaches, Methods and Projects</w:t>
            </w:r>
            <w:r w:rsidRPr="00F12DC4">
              <w:rPr>
                <w:rFonts w:ascii="Times New Roman" w:eastAsia="Times New Roman" w:hAnsi="Times New Roman" w:cs="Times New Roman"/>
                <w:lang w:val="en-US"/>
              </w:rPr>
              <w:t>, 99-111.</w:t>
            </w:r>
          </w:p>
        </w:tc>
      </w:tr>
      <w:tr w:rsidR="0092440D" w:rsidRPr="00950C7D" w14:paraId="0CED64F9" w14:textId="77777777" w:rsidTr="00F12DC4">
        <w:trPr>
          <w:trHeight w:val="251"/>
        </w:trPr>
        <w:tc>
          <w:tcPr>
            <w:tcW w:w="4469" w:type="dxa"/>
          </w:tcPr>
          <w:p w14:paraId="000000B9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7.2. Seminar</w:t>
            </w:r>
          </w:p>
        </w:tc>
        <w:tc>
          <w:tcPr>
            <w:tcW w:w="3510" w:type="dxa"/>
          </w:tcPr>
          <w:p w14:paraId="000000BA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430" w:right="424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Metode de predare</w:t>
            </w:r>
          </w:p>
        </w:tc>
        <w:tc>
          <w:tcPr>
            <w:tcW w:w="1710" w:type="dxa"/>
          </w:tcPr>
          <w:p w14:paraId="000000BB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right="91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Observații</w:t>
            </w:r>
          </w:p>
        </w:tc>
      </w:tr>
      <w:tr w:rsidR="0092440D" w:rsidRPr="00950C7D" w14:paraId="0A474DBF" w14:textId="77777777" w:rsidTr="00F12DC4">
        <w:trPr>
          <w:trHeight w:val="253"/>
        </w:trPr>
        <w:tc>
          <w:tcPr>
            <w:tcW w:w="4469" w:type="dxa"/>
          </w:tcPr>
          <w:p w14:paraId="000000BC" w14:textId="368FB1EF" w:rsidR="0092440D" w:rsidRPr="00950C7D" w:rsidRDefault="005D3E8C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Introducere în echitate, diversitate și incluziune</w:t>
            </w:r>
          </w:p>
        </w:tc>
        <w:tc>
          <w:tcPr>
            <w:tcW w:w="3510" w:type="dxa"/>
          </w:tcPr>
          <w:p w14:paraId="000000BD" w14:textId="145E89EF" w:rsidR="0092440D" w:rsidRPr="00D1518E" w:rsidRDefault="005D3E8C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 xml:space="preserve">Reflecție individuală a propriului parcurs educațional, împărtășire în perechi și debriefing la nivel de grupă de seminar (focusul discuției pe experiența echității, diversității și incluziunii sau absența acestei experiențe) </w:t>
            </w:r>
          </w:p>
        </w:tc>
        <w:tc>
          <w:tcPr>
            <w:tcW w:w="1710" w:type="dxa"/>
          </w:tcPr>
          <w:p w14:paraId="000000BE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A7421" w:rsidRPr="00950C7D" w14:paraId="7980A0F8" w14:textId="77777777" w:rsidTr="00F12DC4">
        <w:trPr>
          <w:trHeight w:val="253"/>
        </w:trPr>
        <w:tc>
          <w:tcPr>
            <w:tcW w:w="4469" w:type="dxa"/>
          </w:tcPr>
          <w:p w14:paraId="16D0B7F3" w14:textId="357E3FB0" w:rsidR="001A7421" w:rsidRPr="00950C7D" w:rsidRDefault="0002763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Intersecționalitate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, m</w:t>
            </w:r>
            <w:r w:rsidR="001A7421"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arginalizare identitară și socio-economică</w:t>
            </w:r>
          </w:p>
        </w:tc>
        <w:tc>
          <w:tcPr>
            <w:tcW w:w="3510" w:type="dxa"/>
          </w:tcPr>
          <w:p w14:paraId="602D990D" w14:textId="72A4CE01" w:rsidR="001A7421" w:rsidRPr="00D1518E" w:rsidRDefault="001A7421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Exercițiu reflexiv, împărtășit în perechi și debriefing în grup</w:t>
            </w:r>
          </w:p>
        </w:tc>
        <w:tc>
          <w:tcPr>
            <w:tcW w:w="1710" w:type="dxa"/>
          </w:tcPr>
          <w:p w14:paraId="50557544" w14:textId="77777777" w:rsidR="001A7421" w:rsidRPr="00950C7D" w:rsidRDefault="001A74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6C7E4F15" w14:textId="77777777" w:rsidTr="00F12DC4">
        <w:trPr>
          <w:trHeight w:val="251"/>
        </w:trPr>
        <w:tc>
          <w:tcPr>
            <w:tcW w:w="4469" w:type="dxa"/>
          </w:tcPr>
          <w:p w14:paraId="000000BF" w14:textId="02EB2A00" w:rsidR="0092440D" w:rsidRPr="00950C7D" w:rsidRDefault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</w:t>
            </w:r>
            <w:r w:rsidR="00B26EFB"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ccesul inegal la învățământ superior: Inegalitatea socio-economică și sistemul educațional</w:t>
            </w:r>
          </w:p>
        </w:tc>
        <w:tc>
          <w:tcPr>
            <w:tcW w:w="3510" w:type="dxa"/>
          </w:tcPr>
          <w:p w14:paraId="000000C0" w14:textId="73C07664" w:rsidR="0092440D" w:rsidRPr="00D1518E" w:rsidRDefault="00B26EFB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Dezbatere în 4 colțuri cu afirmații polemice despre inegalitate socio-educațională</w:t>
            </w:r>
          </w:p>
        </w:tc>
        <w:tc>
          <w:tcPr>
            <w:tcW w:w="1710" w:type="dxa"/>
          </w:tcPr>
          <w:p w14:paraId="000000C1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1A7421" w:rsidRPr="00950C7D" w14:paraId="497B1F61" w14:textId="77777777" w:rsidTr="00F12DC4">
        <w:trPr>
          <w:trHeight w:val="251"/>
        </w:trPr>
        <w:tc>
          <w:tcPr>
            <w:tcW w:w="4469" w:type="dxa"/>
          </w:tcPr>
          <w:p w14:paraId="7A5C277F" w14:textId="6EDE528A" w:rsidR="001A7421" w:rsidRPr="00950C7D" w:rsidRDefault="001A74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Egalitatea de șanse și problematica de gen</w:t>
            </w:r>
          </w:p>
        </w:tc>
        <w:tc>
          <w:tcPr>
            <w:tcW w:w="3510" w:type="dxa"/>
          </w:tcPr>
          <w:p w14:paraId="3C642421" w14:textId="284BAD03" w:rsidR="001A7421" w:rsidRPr="00D1518E" w:rsidRDefault="001A7421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Reflecție asupra reprezentărilor de gen din propriul parcurs educațional: discuție colectivă</w:t>
            </w:r>
          </w:p>
        </w:tc>
        <w:tc>
          <w:tcPr>
            <w:tcW w:w="1710" w:type="dxa"/>
          </w:tcPr>
          <w:p w14:paraId="68CADC87" w14:textId="77777777" w:rsidR="001A7421" w:rsidRPr="00950C7D" w:rsidRDefault="001A7421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44ACC965" w14:textId="77777777" w:rsidTr="00F12DC4">
        <w:trPr>
          <w:trHeight w:val="253"/>
        </w:trPr>
        <w:tc>
          <w:tcPr>
            <w:tcW w:w="4469" w:type="dxa"/>
          </w:tcPr>
          <w:p w14:paraId="000000C2" w14:textId="7DF59F23" w:rsidR="0092440D" w:rsidRPr="00950C7D" w:rsidRDefault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Acțiuni afirmative în învățământul superior </w:t>
            </w:r>
          </w:p>
        </w:tc>
        <w:tc>
          <w:tcPr>
            <w:tcW w:w="3510" w:type="dxa"/>
          </w:tcPr>
          <w:p w14:paraId="000000C3" w14:textId="5370E2E6" w:rsidR="0092440D" w:rsidRPr="00D1518E" w:rsidRDefault="00866AA5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Dezbatere în 4 colțuri cu afirmații polemice despre acțiuni afirmative în învățământul superior</w:t>
            </w:r>
          </w:p>
        </w:tc>
        <w:tc>
          <w:tcPr>
            <w:tcW w:w="1710" w:type="dxa"/>
          </w:tcPr>
          <w:p w14:paraId="000000C4" w14:textId="6D773E61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33B70FC5" w14:textId="77777777" w:rsidTr="00F12DC4">
        <w:trPr>
          <w:trHeight w:val="253"/>
        </w:trPr>
        <w:tc>
          <w:tcPr>
            <w:tcW w:w="4469" w:type="dxa"/>
          </w:tcPr>
          <w:p w14:paraId="000000C5" w14:textId="7C2EF199" w:rsidR="00866AA5" w:rsidRPr="00950C7D" w:rsidRDefault="00BF5DA4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Echitate în învățământul superior </w:t>
            </w:r>
          </w:p>
        </w:tc>
        <w:tc>
          <w:tcPr>
            <w:tcW w:w="3510" w:type="dxa"/>
          </w:tcPr>
          <w:p w14:paraId="000000C6" w14:textId="4C65964E" w:rsidR="00866AA5" w:rsidRPr="00D1518E" w:rsidRDefault="00BF5DA4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Prezentări studii de caz grupe de participanți/te; urmate de o discuție colectivă facilitată</w:t>
            </w:r>
          </w:p>
        </w:tc>
        <w:tc>
          <w:tcPr>
            <w:tcW w:w="1710" w:type="dxa"/>
          </w:tcPr>
          <w:p w14:paraId="000000C7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10E4B782" w14:textId="77777777" w:rsidTr="00F12DC4">
        <w:trPr>
          <w:trHeight w:val="251"/>
        </w:trPr>
        <w:tc>
          <w:tcPr>
            <w:tcW w:w="4469" w:type="dxa"/>
          </w:tcPr>
          <w:p w14:paraId="000000C8" w14:textId="6F761A94" w:rsidR="00866AA5" w:rsidRPr="00950C7D" w:rsidRDefault="00BF5DA4" w:rsidP="00BF5DA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Echitate în învățământul superior</w:t>
            </w:r>
          </w:p>
        </w:tc>
        <w:tc>
          <w:tcPr>
            <w:tcW w:w="3510" w:type="dxa"/>
          </w:tcPr>
          <w:p w14:paraId="000000C9" w14:textId="6C6549A6" w:rsidR="00866AA5" w:rsidRPr="00D1518E" w:rsidRDefault="00BF5DA4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Prezentări studii de caz grupe de participanți/te; urmate de o discuție colectivă facilitată</w:t>
            </w:r>
          </w:p>
        </w:tc>
        <w:tc>
          <w:tcPr>
            <w:tcW w:w="1710" w:type="dxa"/>
          </w:tcPr>
          <w:p w14:paraId="000000CA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3160BFE2" w14:textId="77777777" w:rsidTr="00F12DC4">
        <w:trPr>
          <w:trHeight w:val="253"/>
        </w:trPr>
        <w:tc>
          <w:tcPr>
            <w:tcW w:w="4469" w:type="dxa"/>
          </w:tcPr>
          <w:p w14:paraId="000000CB" w14:textId="40BDFE36" w:rsidR="00866AA5" w:rsidRPr="00950C7D" w:rsidRDefault="00BF5DA4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Diversitate în mediul academic</w:t>
            </w:r>
          </w:p>
        </w:tc>
        <w:tc>
          <w:tcPr>
            <w:tcW w:w="3510" w:type="dxa"/>
          </w:tcPr>
          <w:p w14:paraId="000000CC" w14:textId="52BE201E" w:rsidR="00866AA5" w:rsidRPr="00D1518E" w:rsidRDefault="00BF5DA4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Prezentări studii de caz grupe de participanți/te; urmate de o discuție colectivă facilitată</w:t>
            </w:r>
          </w:p>
        </w:tc>
        <w:tc>
          <w:tcPr>
            <w:tcW w:w="1710" w:type="dxa"/>
          </w:tcPr>
          <w:p w14:paraId="000000CD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67AE09C8" w14:textId="77777777" w:rsidTr="00F12DC4">
        <w:trPr>
          <w:trHeight w:val="253"/>
        </w:trPr>
        <w:tc>
          <w:tcPr>
            <w:tcW w:w="4469" w:type="dxa"/>
          </w:tcPr>
          <w:p w14:paraId="000000CE" w14:textId="05FD5170" w:rsidR="00866AA5" w:rsidRPr="00950C7D" w:rsidRDefault="00BF5DA4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Diversitate în mediul academic</w:t>
            </w:r>
          </w:p>
        </w:tc>
        <w:tc>
          <w:tcPr>
            <w:tcW w:w="3510" w:type="dxa"/>
          </w:tcPr>
          <w:p w14:paraId="000000CF" w14:textId="62E30686" w:rsidR="00866AA5" w:rsidRPr="00D1518E" w:rsidRDefault="00BF5DA4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Prezentări studii de caz grupe de participanți/te; urmate de o discuție colectivă facilitată</w:t>
            </w:r>
          </w:p>
        </w:tc>
        <w:tc>
          <w:tcPr>
            <w:tcW w:w="1710" w:type="dxa"/>
          </w:tcPr>
          <w:p w14:paraId="000000D0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1ABA1ED7" w14:textId="77777777" w:rsidTr="00F12DC4">
        <w:trPr>
          <w:trHeight w:val="253"/>
        </w:trPr>
        <w:tc>
          <w:tcPr>
            <w:tcW w:w="4469" w:type="dxa"/>
          </w:tcPr>
          <w:p w14:paraId="000000D1" w14:textId="2C3F6A07" w:rsidR="00866AA5" w:rsidRPr="00950C7D" w:rsidRDefault="00BF5DA4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Design universal al învățării la universitate</w:t>
            </w:r>
          </w:p>
        </w:tc>
        <w:tc>
          <w:tcPr>
            <w:tcW w:w="3510" w:type="dxa"/>
          </w:tcPr>
          <w:p w14:paraId="000000D2" w14:textId="3A7E2489" w:rsidR="00866AA5" w:rsidRPr="00D1518E" w:rsidRDefault="00BF5DA4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Prezentări studii de caz grupe de participanți/te; urmate de o discuție colectivă facilitată</w:t>
            </w:r>
          </w:p>
        </w:tc>
        <w:tc>
          <w:tcPr>
            <w:tcW w:w="1710" w:type="dxa"/>
          </w:tcPr>
          <w:p w14:paraId="000000D3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099A8436" w14:textId="77777777" w:rsidTr="00F12DC4">
        <w:trPr>
          <w:trHeight w:val="253"/>
        </w:trPr>
        <w:tc>
          <w:tcPr>
            <w:tcW w:w="4469" w:type="dxa"/>
          </w:tcPr>
          <w:p w14:paraId="769D0077" w14:textId="7F5DE5C1" w:rsidR="00866AA5" w:rsidRPr="00950C7D" w:rsidRDefault="00BF5DA4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Design universal al învățării la universitate</w:t>
            </w:r>
          </w:p>
        </w:tc>
        <w:tc>
          <w:tcPr>
            <w:tcW w:w="3510" w:type="dxa"/>
          </w:tcPr>
          <w:p w14:paraId="0027CFBE" w14:textId="144C7E27" w:rsidR="00866AA5" w:rsidRPr="00D1518E" w:rsidRDefault="00BF5DA4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Prezentări studii de caz grupe de participanți/te; urmate de o discuție colectivă facilitată</w:t>
            </w:r>
          </w:p>
        </w:tc>
        <w:tc>
          <w:tcPr>
            <w:tcW w:w="1710" w:type="dxa"/>
          </w:tcPr>
          <w:p w14:paraId="12595EE7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230AA736" w14:textId="77777777" w:rsidTr="00F12DC4">
        <w:trPr>
          <w:trHeight w:val="253"/>
        </w:trPr>
        <w:tc>
          <w:tcPr>
            <w:tcW w:w="4469" w:type="dxa"/>
          </w:tcPr>
          <w:p w14:paraId="7A725A26" w14:textId="3B94EE59" w:rsidR="00866AA5" w:rsidRPr="00950C7D" w:rsidRDefault="00BF5DA4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Planificare didactică inclusivă, echitabilă și orientată spre diversitate</w:t>
            </w:r>
          </w:p>
        </w:tc>
        <w:tc>
          <w:tcPr>
            <w:tcW w:w="3510" w:type="dxa"/>
          </w:tcPr>
          <w:p w14:paraId="0FF9637C" w14:textId="3AC9701A" w:rsidR="00866AA5" w:rsidRPr="00D1518E" w:rsidRDefault="00BF5DA4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 xml:space="preserve"> Sarcini de lucru, peer feedback</w:t>
            </w:r>
          </w:p>
        </w:tc>
        <w:tc>
          <w:tcPr>
            <w:tcW w:w="1710" w:type="dxa"/>
          </w:tcPr>
          <w:p w14:paraId="6D6A534D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490242C8" w14:textId="77777777" w:rsidTr="00F12DC4">
        <w:trPr>
          <w:trHeight w:val="253"/>
        </w:trPr>
        <w:tc>
          <w:tcPr>
            <w:tcW w:w="4469" w:type="dxa"/>
          </w:tcPr>
          <w:p w14:paraId="1280CBC5" w14:textId="6FBED9EF" w:rsidR="00866AA5" w:rsidRPr="00950C7D" w:rsidRDefault="00BF5DA4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Implementarea planificării didactice inclusive, echitabile și orientate spre diversitate</w:t>
            </w:r>
          </w:p>
        </w:tc>
        <w:tc>
          <w:tcPr>
            <w:tcW w:w="3510" w:type="dxa"/>
          </w:tcPr>
          <w:p w14:paraId="7215F3D8" w14:textId="06EB6CFD" w:rsidR="00866AA5" w:rsidRPr="00D1518E" w:rsidRDefault="00BF5DA4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Sarcini de lucru, peer feedback</w:t>
            </w:r>
          </w:p>
        </w:tc>
        <w:tc>
          <w:tcPr>
            <w:tcW w:w="1710" w:type="dxa"/>
          </w:tcPr>
          <w:p w14:paraId="4F3896E9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56865082" w14:textId="77777777" w:rsidTr="00F12DC4">
        <w:trPr>
          <w:trHeight w:val="253"/>
        </w:trPr>
        <w:tc>
          <w:tcPr>
            <w:tcW w:w="4469" w:type="dxa"/>
          </w:tcPr>
          <w:p w14:paraId="6BF2B747" w14:textId="5ED0100E" w:rsidR="00866AA5" w:rsidRPr="00950C7D" w:rsidRDefault="00BF5DA4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Evaluarea rezultatelor studenților/</w:t>
            </w:r>
            <w:proofErr w:type="spellStart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telor</w:t>
            </w:r>
            <w:proofErr w:type="spellEnd"/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în perspectivă echitabilă</w:t>
            </w:r>
          </w:p>
        </w:tc>
        <w:tc>
          <w:tcPr>
            <w:tcW w:w="3510" w:type="dxa"/>
          </w:tcPr>
          <w:p w14:paraId="596E0751" w14:textId="10C0C84E" w:rsidR="00866AA5" w:rsidRPr="00D1518E" w:rsidRDefault="00BF5DA4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89" w:right="83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color w:val="000000"/>
              </w:rPr>
              <w:t>Sarcini de lucru, peer feedback</w:t>
            </w:r>
          </w:p>
        </w:tc>
        <w:tc>
          <w:tcPr>
            <w:tcW w:w="1710" w:type="dxa"/>
          </w:tcPr>
          <w:p w14:paraId="6D1B973F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866AA5" w:rsidRPr="00950C7D" w14:paraId="6EF78DCD" w14:textId="77777777" w:rsidTr="00F12DC4">
        <w:trPr>
          <w:trHeight w:val="253"/>
        </w:trPr>
        <w:tc>
          <w:tcPr>
            <w:tcW w:w="4469" w:type="dxa"/>
          </w:tcPr>
          <w:p w14:paraId="10A5B165" w14:textId="2D0F7CBE" w:rsidR="00866AA5" w:rsidRPr="00950C7D" w:rsidRDefault="00BF5DA4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Discuție de feedback final curs și seminar </w:t>
            </w:r>
          </w:p>
        </w:tc>
        <w:tc>
          <w:tcPr>
            <w:tcW w:w="3510" w:type="dxa"/>
          </w:tcPr>
          <w:p w14:paraId="3F93384C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10" w:type="dxa"/>
          </w:tcPr>
          <w:p w14:paraId="0DE395D4" w14:textId="77777777" w:rsidR="00866AA5" w:rsidRPr="00950C7D" w:rsidRDefault="00866AA5" w:rsidP="00866AA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713DE822" w14:textId="77777777">
        <w:trPr>
          <w:trHeight w:val="253"/>
        </w:trPr>
        <w:tc>
          <w:tcPr>
            <w:tcW w:w="9689" w:type="dxa"/>
            <w:gridSpan w:val="3"/>
          </w:tcPr>
          <w:p w14:paraId="000000D4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Bibliografie</w:t>
            </w:r>
          </w:p>
          <w:p w14:paraId="000000D5" w14:textId="77777777" w:rsidR="0092440D" w:rsidRPr="00950C7D" w:rsidRDefault="00000000">
            <w:pPr>
              <w:widowControl w:val="0"/>
              <w:numPr>
                <w:ilvl w:val="0"/>
                <w:numId w:val="2"/>
              </w:num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obligatorie</w:t>
            </w:r>
          </w:p>
          <w:p w14:paraId="298039D3" w14:textId="77777777" w:rsidR="00EB08B5" w:rsidRPr="00D1518E" w:rsidRDefault="00EB08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Harvard Graduate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School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of Education (NN)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Educating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for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Equity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and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Inclusion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. </w:t>
            </w:r>
            <w:hyperlink r:id="rId15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bCs/>
                </w:rPr>
                <w:t>https://instructionalmoves.gse.harvard.edu/educating-for-equity-and-inclusion</w:t>
              </w:r>
            </w:hyperlink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</w:p>
          <w:p w14:paraId="37372E17" w14:textId="77777777" w:rsidR="00EB08B5" w:rsidRPr="00D1518E" w:rsidRDefault="00EB08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Health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Sciences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Library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University of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Washingtion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(NN)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Citational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Justice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: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Guide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to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citational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justice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and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politics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in the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health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sciences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. </w:t>
            </w:r>
            <w:hyperlink r:id="rId16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bCs/>
                </w:rPr>
                <w:t>https://guides.lib.uw.edu/hsl/cj</w:t>
              </w:r>
            </w:hyperlink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</w:p>
          <w:p w14:paraId="5AF00B69" w14:textId="77777777" w:rsidR="00EB08B5" w:rsidRPr="00D1518E" w:rsidRDefault="00EB08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London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School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of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Economics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(NN)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Aspirational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metrics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– A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guide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for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working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towards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citational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justice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. </w:t>
            </w:r>
            <w:hyperlink r:id="rId17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bCs/>
                </w:rPr>
                <w:t>https://blogs.lse.ac.uk/impactofsocialsciences/2022/05/16/aspirational-metrics-a-guide-for-working-towards-citational-justice/</w:t>
              </w:r>
            </w:hyperlink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</w:p>
          <w:p w14:paraId="45F299EE" w14:textId="77777777" w:rsidR="00EB08B5" w:rsidRPr="00D1518E" w:rsidRDefault="00EB08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Peers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for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Integration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(NN) Marșul Privilegiilor. </w:t>
            </w:r>
            <w:hyperlink r:id="rId18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bCs/>
                </w:rPr>
                <w:t>http://integration.ofetin.ro/index.php/ro/privilege-walk-2</w:t>
              </w:r>
            </w:hyperlink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</w:p>
          <w:p w14:paraId="070810B0" w14:textId="77777777" w:rsidR="00EB08B5" w:rsidRPr="00D1518E" w:rsidRDefault="00EB08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Stubbs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, V. (NN) The 6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Pillars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of a Brave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Space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. </w:t>
            </w:r>
            <w:hyperlink r:id="rId19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bCs/>
                </w:rPr>
                <w:t>https://www.ssw.umaryland.edu/media/ssw/field-education/2---The-6-Pillars-of-Brave-Space.pdf</w:t>
              </w:r>
            </w:hyperlink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</w:p>
          <w:p w14:paraId="5B74DF84" w14:textId="77777777" w:rsidR="00EB08B5" w:rsidRPr="00D1518E" w:rsidRDefault="00EB08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The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Listeners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Collective (NN) The Indian Wheel of Power and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Powerlessness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. </w:t>
            </w:r>
            <w:hyperlink r:id="rId20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bCs/>
                </w:rPr>
                <w:t>https://thelistenerscollective.org/indian-wheel-of-power-powerlessness/</w:t>
              </w:r>
            </w:hyperlink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</w:p>
          <w:p w14:paraId="2DAFB1E8" w14:textId="77777777" w:rsidR="00EB08B5" w:rsidRPr="00D1518E" w:rsidRDefault="00EB08B5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The University of Rhode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Island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(NN) Teaching with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Justice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,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Equity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,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Diversity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and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Inclusion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. </w:t>
            </w:r>
            <w:hyperlink r:id="rId21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bCs/>
                </w:rPr>
                <w:t>https://web.uri.edu/atl/teaching/deij/</w:t>
              </w:r>
            </w:hyperlink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</w:p>
          <w:p w14:paraId="000000D7" w14:textId="4F83859C" w:rsidR="0092440D" w:rsidRPr="00D1518E" w:rsidRDefault="00EB08B5" w:rsidP="00D1518E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Cs/>
                <w:color w:val="000000"/>
              </w:rPr>
            </w:pPr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University of Birmingham (NN) Citation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Justice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– what it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is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and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how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you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can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practice it.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Exploring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the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issue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of citation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justice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within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  <w:proofErr w:type="spellStart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>research</w:t>
            </w:r>
            <w:proofErr w:type="spellEnd"/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and teaching. </w:t>
            </w:r>
            <w:hyperlink r:id="rId22" w:history="1">
              <w:r w:rsidRPr="00D1518E">
                <w:rPr>
                  <w:rStyle w:val="Hyperlink"/>
                  <w:rFonts w:ascii="Times New Roman" w:eastAsia="Times New Roman" w:hAnsi="Times New Roman" w:cs="Times New Roman"/>
                  <w:bCs/>
                </w:rPr>
                <w:t>https://www.birmingham.ac.uk/news/2023/citation-justice-what-it-is-and-how-you-can-practice-it</w:t>
              </w:r>
            </w:hyperlink>
            <w:r w:rsidRPr="00D1518E">
              <w:rPr>
                <w:rFonts w:ascii="Times New Roman" w:eastAsia="Times New Roman" w:hAnsi="Times New Roman" w:cs="Times New Roman"/>
                <w:bCs/>
                <w:color w:val="000000"/>
              </w:rPr>
              <w:t xml:space="preserve"> </w:t>
            </w:r>
          </w:p>
        </w:tc>
      </w:tr>
    </w:tbl>
    <w:p w14:paraId="000000DA" w14:textId="77777777" w:rsidR="0092440D" w:rsidRPr="00950C7D" w:rsidRDefault="0092440D">
      <w:pPr>
        <w:tabs>
          <w:tab w:val="left" w:pos="1035"/>
        </w:tabs>
        <w:spacing w:after="0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p w14:paraId="000000DB" w14:textId="77777777" w:rsidR="0092440D" w:rsidRPr="00950C7D" w:rsidRDefault="00000000">
      <w:pPr>
        <w:widowControl w:val="0"/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tabs>
          <w:tab w:val="left" w:pos="1021"/>
          <w:tab w:val="left" w:pos="1022"/>
        </w:tabs>
        <w:spacing w:after="0" w:line="276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950C7D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Evaluare</w:t>
      </w:r>
    </w:p>
    <w:tbl>
      <w:tblPr>
        <w:tblStyle w:val="a6"/>
        <w:tblW w:w="9689" w:type="dxa"/>
        <w:tblInd w:w="11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110"/>
        <w:gridCol w:w="3079"/>
        <w:gridCol w:w="2520"/>
        <w:gridCol w:w="1980"/>
      </w:tblGrid>
      <w:tr w:rsidR="0092440D" w:rsidRPr="00950C7D" w14:paraId="6EFF4BDF" w14:textId="77777777" w:rsidTr="00F12DC4">
        <w:trPr>
          <w:trHeight w:val="254"/>
        </w:trPr>
        <w:tc>
          <w:tcPr>
            <w:tcW w:w="2110" w:type="dxa"/>
            <w:vAlign w:val="center"/>
          </w:tcPr>
          <w:p w14:paraId="000000DC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Tip activitate</w:t>
            </w:r>
          </w:p>
        </w:tc>
        <w:tc>
          <w:tcPr>
            <w:tcW w:w="3079" w:type="dxa"/>
            <w:vAlign w:val="center"/>
          </w:tcPr>
          <w:p w14:paraId="000000DD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10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Criterii de evaluare</w:t>
            </w:r>
          </w:p>
        </w:tc>
        <w:tc>
          <w:tcPr>
            <w:tcW w:w="2520" w:type="dxa"/>
            <w:vAlign w:val="center"/>
          </w:tcPr>
          <w:p w14:paraId="000000DE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6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Metode de evaluare</w:t>
            </w:r>
          </w:p>
        </w:tc>
        <w:tc>
          <w:tcPr>
            <w:tcW w:w="1980" w:type="dxa"/>
            <w:vAlign w:val="center"/>
          </w:tcPr>
          <w:p w14:paraId="000000DF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6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Pondere din nota finală</w:t>
            </w:r>
          </w:p>
        </w:tc>
      </w:tr>
      <w:tr w:rsidR="00336FE7" w:rsidRPr="00950C7D" w14:paraId="530E9D07" w14:textId="77777777" w:rsidTr="00F12DC4">
        <w:trPr>
          <w:trHeight w:val="251"/>
        </w:trPr>
        <w:tc>
          <w:tcPr>
            <w:tcW w:w="2110" w:type="dxa"/>
            <w:vMerge w:val="restart"/>
            <w:vAlign w:val="center"/>
          </w:tcPr>
          <w:p w14:paraId="000000E0" w14:textId="77777777" w:rsidR="00336FE7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8.1. Curs</w:t>
            </w:r>
          </w:p>
        </w:tc>
        <w:tc>
          <w:tcPr>
            <w:tcW w:w="3079" w:type="dxa"/>
            <w:vAlign w:val="center"/>
          </w:tcPr>
          <w:p w14:paraId="45AD9CEF" w14:textId="77777777" w:rsidR="00336FE7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Calitatea și relevanța resurselor bibliografice folosite</w:t>
            </w:r>
          </w:p>
          <w:p w14:paraId="000000E1" w14:textId="14DAD346" w:rsidR="00336FE7" w:rsidRPr="00950C7D" w:rsidRDefault="00336FE7" w:rsidP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Calitatea și relevanța argumentării</w:t>
            </w:r>
          </w:p>
        </w:tc>
        <w:tc>
          <w:tcPr>
            <w:tcW w:w="2520" w:type="dxa"/>
            <w:vAlign w:val="center"/>
          </w:tcPr>
          <w:p w14:paraId="000000E2" w14:textId="4AA78937" w:rsidR="00336FE7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Eseu argumentativ relevant pentru tematica cursului</w:t>
            </w:r>
          </w:p>
        </w:tc>
        <w:tc>
          <w:tcPr>
            <w:tcW w:w="1980" w:type="dxa"/>
            <w:vAlign w:val="center"/>
          </w:tcPr>
          <w:p w14:paraId="000000E3" w14:textId="14F1AB4B" w:rsidR="00336FE7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25%</w:t>
            </w:r>
          </w:p>
        </w:tc>
      </w:tr>
      <w:tr w:rsidR="00336FE7" w:rsidRPr="00950C7D" w14:paraId="52EB148F" w14:textId="77777777" w:rsidTr="00F12DC4">
        <w:trPr>
          <w:trHeight w:val="251"/>
        </w:trPr>
        <w:tc>
          <w:tcPr>
            <w:tcW w:w="2110" w:type="dxa"/>
            <w:vMerge/>
            <w:vAlign w:val="center"/>
          </w:tcPr>
          <w:p w14:paraId="6E2FF5D7" w14:textId="77777777" w:rsidR="00336FE7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79" w:type="dxa"/>
            <w:vAlign w:val="center"/>
          </w:tcPr>
          <w:p w14:paraId="40F7344A" w14:textId="14982084" w:rsidR="00336FE7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Abilitățile de planificare didactică în relație cu principii EDI/UDL sau alte concepte centrale ale cursului</w:t>
            </w:r>
          </w:p>
        </w:tc>
        <w:tc>
          <w:tcPr>
            <w:tcW w:w="2520" w:type="dxa"/>
            <w:vAlign w:val="center"/>
          </w:tcPr>
          <w:p w14:paraId="669DC609" w14:textId="4DD5E062" w:rsidR="00336FE7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Realizarea unei analize a unei FD proprii din perspectiva EDI sau UDL SAU elaborarea unei planificări didactice/de evaluare în conformitate cu sugestiile</w:t>
            </w:r>
          </w:p>
        </w:tc>
        <w:tc>
          <w:tcPr>
            <w:tcW w:w="1980" w:type="dxa"/>
            <w:vAlign w:val="center"/>
          </w:tcPr>
          <w:p w14:paraId="4DC3283A" w14:textId="13368C09" w:rsidR="00336FE7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25%</w:t>
            </w:r>
          </w:p>
        </w:tc>
      </w:tr>
      <w:tr w:rsidR="0092440D" w:rsidRPr="00950C7D" w14:paraId="21A5E02C" w14:textId="77777777" w:rsidTr="00F12DC4">
        <w:trPr>
          <w:trHeight w:val="251"/>
        </w:trPr>
        <w:tc>
          <w:tcPr>
            <w:tcW w:w="2110" w:type="dxa"/>
            <w:vMerge w:val="restart"/>
            <w:vAlign w:val="center"/>
          </w:tcPr>
          <w:p w14:paraId="000000E8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8.2. Seminar</w:t>
            </w:r>
          </w:p>
        </w:tc>
        <w:tc>
          <w:tcPr>
            <w:tcW w:w="3079" w:type="dxa"/>
            <w:vAlign w:val="center"/>
          </w:tcPr>
          <w:p w14:paraId="0ED50EDC" w14:textId="0EA454C3" w:rsidR="0092440D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Relevanța studiului de caz ales</w:t>
            </w:r>
          </w:p>
          <w:p w14:paraId="2BA14315" w14:textId="26C8E7CE" w:rsidR="00336FE7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Calitatea și relevanța bibliografiei incluse</w:t>
            </w:r>
          </w:p>
          <w:p w14:paraId="000000E9" w14:textId="7C6937B4" w:rsidR="00336FE7" w:rsidRPr="00950C7D" w:rsidRDefault="00336FE7" w:rsidP="00F12DC4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Calitatea întrebărilor propuse și (dacă este cazul) abilitățile de facilitare a discuției de grup</w:t>
            </w:r>
          </w:p>
        </w:tc>
        <w:tc>
          <w:tcPr>
            <w:tcW w:w="2520" w:type="dxa"/>
            <w:vAlign w:val="center"/>
          </w:tcPr>
          <w:p w14:paraId="000000EA" w14:textId="59A6CFD3" w:rsidR="0092440D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lastRenderedPageBreak/>
              <w:t>Prezentare de grup și facilitarea unei discuții</w:t>
            </w:r>
          </w:p>
        </w:tc>
        <w:tc>
          <w:tcPr>
            <w:tcW w:w="1980" w:type="dxa"/>
            <w:vAlign w:val="center"/>
          </w:tcPr>
          <w:p w14:paraId="000000EB" w14:textId="106910D5" w:rsidR="0092440D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20%</w:t>
            </w:r>
          </w:p>
        </w:tc>
      </w:tr>
      <w:tr w:rsidR="0092440D" w:rsidRPr="00950C7D" w14:paraId="7395CD06" w14:textId="77777777" w:rsidTr="00F12DC4">
        <w:trPr>
          <w:trHeight w:val="253"/>
        </w:trPr>
        <w:tc>
          <w:tcPr>
            <w:tcW w:w="2110" w:type="dxa"/>
            <w:vMerge/>
            <w:vAlign w:val="center"/>
          </w:tcPr>
          <w:p w14:paraId="000000EC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3079" w:type="dxa"/>
            <w:vAlign w:val="center"/>
          </w:tcPr>
          <w:p w14:paraId="000000ED" w14:textId="4D74359E" w:rsidR="0092440D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 xml:space="preserve">Participare </w:t>
            </w:r>
            <w:r w:rsidR="00950C7D">
              <w:rPr>
                <w:rFonts w:ascii="Times New Roman" w:eastAsia="Times New Roman" w:hAnsi="Times New Roman" w:cs="Times New Roman"/>
                <w:color w:val="000000"/>
              </w:rPr>
              <w:t>activă</w:t>
            </w:r>
            <w:r w:rsidRPr="00950C7D">
              <w:rPr>
                <w:rFonts w:ascii="Times New Roman" w:eastAsia="Times New Roman" w:hAnsi="Times New Roman" w:cs="Times New Roman"/>
                <w:color w:val="000000"/>
              </w:rPr>
              <w:t xml:space="preserve"> și informată, realizarea temelor și competențe atitudinale relevante</w:t>
            </w:r>
          </w:p>
        </w:tc>
        <w:tc>
          <w:tcPr>
            <w:tcW w:w="2520" w:type="dxa"/>
            <w:vAlign w:val="center"/>
          </w:tcPr>
          <w:p w14:paraId="000000EE" w14:textId="7AF0EF8F" w:rsidR="0092440D" w:rsidRPr="00950C7D" w:rsidRDefault="00950C7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</w:rPr>
              <w:t>Observare/</w:t>
            </w:r>
            <w:r w:rsidR="00336FE7" w:rsidRPr="00950C7D">
              <w:rPr>
                <w:rFonts w:ascii="Times New Roman" w:eastAsia="Times New Roman" w:hAnsi="Times New Roman" w:cs="Times New Roman"/>
                <w:color w:val="000000"/>
              </w:rPr>
              <w:t>participare la curs/seminar; teme pe parcurs</w:t>
            </w:r>
          </w:p>
        </w:tc>
        <w:tc>
          <w:tcPr>
            <w:tcW w:w="1980" w:type="dxa"/>
            <w:vAlign w:val="center"/>
          </w:tcPr>
          <w:p w14:paraId="000000EF" w14:textId="19E8E09E" w:rsidR="0092440D" w:rsidRPr="00950C7D" w:rsidRDefault="00336FE7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30%</w:t>
            </w:r>
          </w:p>
        </w:tc>
      </w:tr>
      <w:tr w:rsidR="0092440D" w:rsidRPr="00950C7D" w14:paraId="25E1DF7D" w14:textId="77777777">
        <w:trPr>
          <w:trHeight w:val="61"/>
        </w:trPr>
        <w:tc>
          <w:tcPr>
            <w:tcW w:w="9689" w:type="dxa"/>
            <w:gridSpan w:val="4"/>
            <w:vAlign w:val="center"/>
          </w:tcPr>
          <w:p w14:paraId="000000F8" w14:textId="77777777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07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8.4. Standard minim de performanță</w:t>
            </w:r>
          </w:p>
        </w:tc>
      </w:tr>
      <w:tr w:rsidR="0092440D" w:rsidRPr="00950C7D" w14:paraId="65477D20" w14:textId="77777777">
        <w:trPr>
          <w:trHeight w:val="506"/>
        </w:trPr>
        <w:tc>
          <w:tcPr>
            <w:tcW w:w="9689" w:type="dxa"/>
            <w:gridSpan w:val="4"/>
            <w:vAlign w:val="center"/>
          </w:tcPr>
          <w:p w14:paraId="000000FC" w14:textId="50D8B7A2" w:rsidR="007E3DF3" w:rsidRPr="00950C7D" w:rsidRDefault="007E3DF3" w:rsidP="005E7C9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both"/>
              <w:rPr>
                <w:rFonts w:ascii="Times New Roman" w:eastAsia="Times New Roman" w:hAnsi="Times New Roman" w:cs="Times New Roman"/>
                <w:color w:val="000000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</w:rPr>
              <w:t>Standardul minim de performanță este dat de o participare activă și informată la activitățile de curs și seminar (minim 70%).</w:t>
            </w:r>
            <w:r w:rsidR="005E7C9D">
              <w:rPr>
                <w:rFonts w:ascii="Times New Roman" w:eastAsia="Times New Roman" w:hAnsi="Times New Roman" w:cs="Times New Roman"/>
                <w:color w:val="000000"/>
              </w:rPr>
              <w:t xml:space="preserve"> </w:t>
            </w:r>
            <w:r w:rsidRPr="00950C7D">
              <w:rPr>
                <w:rFonts w:ascii="Times New Roman" w:eastAsia="Times New Roman" w:hAnsi="Times New Roman" w:cs="Times New Roman"/>
                <w:color w:val="000000"/>
              </w:rPr>
              <w:t xml:space="preserve">Având în vedere specificul cursului, manifestarea activă a unor atitudini respectuoase pro- incluziune și pro-diversitate reprezintă un standard minim de performanță. De asemenea, realizarea tuturor sarcinilor de seminar și curs respectând principiile etice privind originalitatea </w:t>
            </w:r>
            <w:r w:rsidR="00A6548B" w:rsidRPr="00950C7D">
              <w:rPr>
                <w:rFonts w:ascii="Times New Roman" w:eastAsia="Times New Roman" w:hAnsi="Times New Roman" w:cs="Times New Roman"/>
                <w:color w:val="000000"/>
              </w:rPr>
              <w:t xml:space="preserve">producției intelectuale (evitarea plagiatului), precum și evitarea stigmatizării în scris a unor grupuri sau persoane marginalizate reprezintă un standard minimal de performanță. </w:t>
            </w:r>
          </w:p>
        </w:tc>
      </w:tr>
    </w:tbl>
    <w:p w14:paraId="00000100" w14:textId="77777777" w:rsidR="0092440D" w:rsidRPr="00950C7D" w:rsidRDefault="0092440D">
      <w:pPr>
        <w:spacing w:after="0" w:line="276" w:lineRule="auto"/>
        <w:rPr>
          <w:rFonts w:ascii="Times New Roman" w:eastAsia="Times New Roman" w:hAnsi="Times New Roman" w:cs="Times New Roman"/>
          <w:b/>
          <w:sz w:val="20"/>
          <w:szCs w:val="20"/>
        </w:rPr>
      </w:pPr>
    </w:p>
    <w:tbl>
      <w:tblPr>
        <w:tblStyle w:val="a7"/>
        <w:tblW w:w="9778" w:type="dxa"/>
        <w:tblLayout w:type="fixed"/>
        <w:tblLook w:val="0000" w:firstRow="0" w:lastRow="0" w:firstColumn="0" w:lastColumn="0" w:noHBand="0" w:noVBand="0"/>
      </w:tblPr>
      <w:tblGrid>
        <w:gridCol w:w="4545"/>
        <w:gridCol w:w="5233"/>
      </w:tblGrid>
      <w:tr w:rsidR="0092440D" w:rsidRPr="00950C7D" w14:paraId="02980FBE" w14:textId="77777777">
        <w:trPr>
          <w:trHeight w:val="835"/>
        </w:trPr>
        <w:tc>
          <w:tcPr>
            <w:tcW w:w="4545" w:type="dxa"/>
          </w:tcPr>
          <w:p w14:paraId="00000101" w14:textId="7FC5C304" w:rsidR="0092440D" w:rsidRPr="00950C7D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81" w:right="113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Data completării:</w:t>
            </w:r>
          </w:p>
        </w:tc>
        <w:tc>
          <w:tcPr>
            <w:tcW w:w="5233" w:type="dxa"/>
          </w:tcPr>
          <w:p w14:paraId="00000102" w14:textId="77777777" w:rsidR="0092440D" w:rsidRPr="008E731E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132" w:right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E731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Titular curs (Semnătura):</w:t>
            </w:r>
          </w:p>
          <w:p w14:paraId="00000103" w14:textId="77777777" w:rsidR="0092440D" w:rsidRPr="00950C7D" w:rsidRDefault="00000000">
            <w:pPr>
              <w:widowControl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Lect. univ. dr. Leyla SAFTA-ZECHERIA</w:t>
            </w:r>
          </w:p>
          <w:p w14:paraId="00000104" w14:textId="77777777" w:rsidR="0092440D" w:rsidRPr="00950C7D" w:rsidRDefault="00000000">
            <w:pPr>
              <w:widowControl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Ilinca SAS</w:t>
            </w:r>
          </w:p>
          <w:p w14:paraId="00000105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132" w:right="18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0000106" w14:textId="541D61A7" w:rsidR="0092440D" w:rsidRPr="008E731E" w:rsidRDefault="00000000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132" w:right="181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8E731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Titular</w:t>
            </w:r>
            <w:r w:rsidR="005E7C9D" w:rsidRPr="008E731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(i)</w:t>
            </w:r>
            <w:r w:rsidRPr="008E731E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seminar (Semnătura):</w:t>
            </w:r>
          </w:p>
          <w:p w14:paraId="00000107" w14:textId="17BDA124" w:rsidR="0092440D" w:rsidRDefault="00000000">
            <w:pPr>
              <w:widowControl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Lect. univ. dr. Leyla SAFTA-ZECHERI</w:t>
            </w:r>
            <w:r w:rsid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A</w:t>
            </w:r>
          </w:p>
          <w:p w14:paraId="64AEA71E" w14:textId="77777777" w:rsidR="00950C7D" w:rsidRDefault="00950C7D">
            <w:pPr>
              <w:widowControl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1B767563" w14:textId="77777777" w:rsidR="00950C7D" w:rsidRPr="00950C7D" w:rsidRDefault="00950C7D">
            <w:pPr>
              <w:widowControl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  <w:p w14:paraId="00000109" w14:textId="6E515E2C" w:rsidR="0092440D" w:rsidRPr="00950C7D" w:rsidRDefault="00000000" w:rsidP="008E731E">
            <w:pPr>
              <w:widowControl w:val="0"/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sz w:val="24"/>
                <w:szCs w:val="24"/>
              </w:rPr>
              <w:t>Referent de specialitate Ilinca SAS</w:t>
            </w:r>
          </w:p>
          <w:p w14:paraId="0000010A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132" w:right="181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  <w:p w14:paraId="0000010B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132" w:right="18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92440D" w:rsidRPr="00950C7D" w14:paraId="1EA09AB5" w14:textId="77777777" w:rsidTr="00717186">
        <w:trPr>
          <w:trHeight w:val="835"/>
        </w:trPr>
        <w:tc>
          <w:tcPr>
            <w:tcW w:w="4545" w:type="dxa"/>
            <w:vAlign w:val="center"/>
          </w:tcPr>
          <w:p w14:paraId="0000010C" w14:textId="77777777" w:rsidR="0092440D" w:rsidRPr="00950C7D" w:rsidRDefault="0092440D" w:rsidP="007171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000010D" w14:textId="748F8F62" w:rsidR="0092440D" w:rsidRPr="00950C7D" w:rsidRDefault="00000000" w:rsidP="0071718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81" w:right="1132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Data avizării în </w:t>
            </w:r>
            <w:r w:rsidR="005E7C9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Consiliul DPPD</w:t>
            </w:r>
            <w:r w:rsidRPr="00950C7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:</w:t>
            </w:r>
          </w:p>
        </w:tc>
        <w:tc>
          <w:tcPr>
            <w:tcW w:w="5233" w:type="dxa"/>
          </w:tcPr>
          <w:p w14:paraId="0000010E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  <w:p w14:paraId="0000010F" w14:textId="411287B9" w:rsidR="0092440D" w:rsidRPr="008E731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E731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Responsabil program formare</w:t>
            </w:r>
          </w:p>
          <w:p w14:paraId="00000110" w14:textId="77777777" w:rsidR="0092440D" w:rsidRPr="008E731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E731E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 (Semnătura):</w:t>
            </w:r>
          </w:p>
          <w:p w14:paraId="00000111" w14:textId="77777777" w:rsidR="0092440D" w:rsidRPr="008E731E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</w:rPr>
            </w:pPr>
            <w:r w:rsidRPr="008E731E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Asistent de cercetare drd. Velibor MLADENOVICI</w:t>
            </w:r>
          </w:p>
          <w:p w14:paraId="00000114" w14:textId="77777777" w:rsidR="0092440D" w:rsidRPr="00950C7D" w:rsidRDefault="0092440D">
            <w:pPr>
              <w:rPr>
                <w:rFonts w:ascii="Times New Roman" w:hAnsi="Times New Roman" w:cs="Times New Roman"/>
              </w:rPr>
            </w:pPr>
          </w:p>
          <w:p w14:paraId="00000115" w14:textId="77777777" w:rsidR="0092440D" w:rsidRPr="00950C7D" w:rsidRDefault="0092440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spacing w:after="0" w:line="276" w:lineRule="auto"/>
              <w:ind w:left="1134" w:right="181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</w:tr>
    </w:tbl>
    <w:p w14:paraId="00000118" w14:textId="77777777" w:rsidR="0092440D" w:rsidRPr="00950C7D" w:rsidRDefault="0092440D" w:rsidP="00402DDC">
      <w:pPr>
        <w:spacing w:after="0" w:line="276" w:lineRule="auto"/>
        <w:rPr>
          <w:rFonts w:ascii="Times New Roman" w:eastAsia="Times New Roman" w:hAnsi="Times New Roman" w:cs="Times New Roman"/>
        </w:rPr>
      </w:pPr>
    </w:p>
    <w:sectPr w:rsidR="0092440D" w:rsidRPr="00950C7D">
      <w:headerReference w:type="default" r:id="rId23"/>
      <w:footerReference w:type="default" r:id="rId24"/>
      <w:headerReference w:type="first" r:id="rId25"/>
      <w:pgSz w:w="12240" w:h="15840"/>
      <w:pgMar w:top="1440" w:right="1440" w:bottom="1440" w:left="1440" w:header="720" w:footer="72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4D1D78B" w14:textId="77777777" w:rsidR="004F1412" w:rsidRDefault="004F1412">
      <w:pPr>
        <w:spacing w:after="0" w:line="240" w:lineRule="auto"/>
      </w:pPr>
      <w:r>
        <w:separator/>
      </w:r>
    </w:p>
  </w:endnote>
  <w:endnote w:type="continuationSeparator" w:id="0">
    <w:p w14:paraId="218A523B" w14:textId="77777777" w:rsidR="004F1412" w:rsidRDefault="004F141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Noto Sans Symbols">
    <w:charset w:val="00"/>
    <w:family w:val="auto"/>
    <w:pitch w:val="default"/>
    <w:embedRegular r:id="rId1" w:fontKey="{01E8A903-8C47-4626-B9B3-65DBE47D8F79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54AC2055-8846-46A9-82CC-5A97E1F8268C}"/>
    <w:embedBold r:id="rId3" w:fontKey="{701AD27F-25CB-4F4F-8C43-A78A00101A3C}"/>
    <w:embedItalic r:id="rId4" w:fontKey="{91FF01AB-3E54-4CD6-8335-CD444B3309D2}"/>
    <w:embedBoldItalic r:id="rId5" w:fontKey="{794C83BC-1A6D-4FE2-B423-A2F91AFCCEE8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ECFB4D22-581C-4A19-9A09-C7926C73AC47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7" w:fontKey="{40D48EA7-F41A-40C0-A0B4-AC25B4D33749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8" w:fontKey="{A0FB3409-088B-4A12-BBB1-E329721E096C}"/>
    <w:embedItalic r:id="rId9" w:fontKey="{84BCB6E0-EB8B-40C8-8AD2-6FD09424AD43}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  <w:embedRegular r:id="rId10" w:fontKey="{156B4785-C962-4CB4-A5F6-92F2D5928F3B}"/>
    <w:embedBold r:id="rId11" w:fontKey="{3A89AE80-56DF-4CAE-B603-0CC1C6FEB36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11D" w14:textId="0C4FB082" w:rsidR="0092440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rFonts w:ascii="Arial Narrow" w:eastAsia="Arial Narrow" w:hAnsi="Arial Narrow" w:cs="Arial Narrow"/>
        <w:b/>
        <w:color w:val="FFC000"/>
      </w:rPr>
    </w:pPr>
    <w:r>
      <w:rPr>
        <w:rFonts w:ascii="Arial Narrow" w:eastAsia="Arial Narrow" w:hAnsi="Arial Narrow" w:cs="Arial Narrow"/>
        <w:b/>
        <w:color w:val="548DD4"/>
      </w:rPr>
      <w:t>PAGINA</w:t>
    </w:r>
    <w:r>
      <w:rPr>
        <w:rFonts w:ascii="Arial Narrow" w:eastAsia="Arial Narrow" w:hAnsi="Arial Narrow" w:cs="Arial Narrow"/>
        <w:color w:val="548DD4"/>
      </w:rPr>
      <w:t xml:space="preserve"> |    </w:t>
    </w:r>
    <w:r>
      <w:rPr>
        <w:rFonts w:ascii="Arial Narrow" w:eastAsia="Arial Narrow" w:hAnsi="Arial Narrow" w:cs="Arial Narrow"/>
        <w:b/>
        <w:color w:val="FFC000"/>
      </w:rPr>
      <w:fldChar w:fldCharType="begin"/>
    </w:r>
    <w:r>
      <w:rPr>
        <w:rFonts w:ascii="Arial Narrow" w:eastAsia="Arial Narrow" w:hAnsi="Arial Narrow" w:cs="Arial Narrow"/>
        <w:b/>
        <w:color w:val="FFC000"/>
      </w:rPr>
      <w:instrText>PAGE</w:instrText>
    </w:r>
    <w:r>
      <w:rPr>
        <w:rFonts w:ascii="Arial Narrow" w:eastAsia="Arial Narrow" w:hAnsi="Arial Narrow" w:cs="Arial Narrow"/>
        <w:b/>
        <w:color w:val="FFC000"/>
      </w:rPr>
      <w:fldChar w:fldCharType="separate"/>
    </w:r>
    <w:r w:rsidR="00651735">
      <w:rPr>
        <w:rFonts w:ascii="Arial Narrow" w:eastAsia="Arial Narrow" w:hAnsi="Arial Narrow" w:cs="Arial Narrow"/>
        <w:b/>
        <w:noProof/>
        <w:color w:val="FFC000"/>
      </w:rPr>
      <w:t>2</w:t>
    </w:r>
    <w:r>
      <w:rPr>
        <w:rFonts w:ascii="Arial Narrow" w:eastAsia="Arial Narrow" w:hAnsi="Arial Narrow" w:cs="Arial Narrow"/>
        <w:b/>
        <w:color w:val="FFC000"/>
      </w:rPr>
      <w:fldChar w:fldCharType="end"/>
    </w:r>
  </w:p>
  <w:p w14:paraId="0000011E" w14:textId="77777777" w:rsidR="0092440D" w:rsidRDefault="00000000">
    <w:r>
      <w:rPr>
        <w:rFonts w:ascii="Arial Narrow" w:eastAsia="Arial Narrow" w:hAnsi="Arial Narrow" w:cs="Arial Narrow"/>
        <w:color w:val="548DD4"/>
      </w:rPr>
      <w:t xml:space="preserve">                                                                                                                                        </w:t>
    </w:r>
  </w:p>
  <w:p w14:paraId="0000011F" w14:textId="77777777" w:rsidR="0092440D" w:rsidRDefault="0092440D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15A045E" w14:textId="77777777" w:rsidR="004F1412" w:rsidRDefault="004F1412">
      <w:pPr>
        <w:spacing w:after="0" w:line="240" w:lineRule="auto"/>
      </w:pPr>
      <w:r>
        <w:separator/>
      </w:r>
    </w:p>
  </w:footnote>
  <w:footnote w:type="continuationSeparator" w:id="0">
    <w:p w14:paraId="2416B296" w14:textId="77777777" w:rsidR="004F1412" w:rsidRDefault="004F1412">
      <w:pPr>
        <w:spacing w:after="0" w:line="240" w:lineRule="auto"/>
      </w:pPr>
      <w:r>
        <w:continuationSeparator/>
      </w:r>
    </w:p>
  </w:footnote>
  <w:footnote w:id="1">
    <w:p w14:paraId="00000119" w14:textId="77777777" w:rsidR="0092440D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76" w:lineRule="auto"/>
        <w:jc w:val="both"/>
        <w:rPr>
          <w:rFonts w:ascii="Times New Roman" w:eastAsia="Times New Roman" w:hAnsi="Times New Roman" w:cs="Times New Roman"/>
          <w:color w:val="000000"/>
        </w:rPr>
      </w:pPr>
      <w:r>
        <w:rPr>
          <w:rStyle w:val="FootnoteReference"/>
        </w:rPr>
        <w:footnoteRef/>
      </w:r>
      <w:r>
        <w:rPr>
          <w:rFonts w:ascii="Times New Roman" w:eastAsia="Times New Roman" w:hAnsi="Times New Roman" w:cs="Times New Roman"/>
          <w:color w:val="000000"/>
        </w:rPr>
        <w:t xml:space="preserve"> Laborator/Proiect/Aplicații practice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11A" w14:textId="77777777" w:rsidR="0092440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  <w:tab w:val="left" w:pos="3558"/>
      </w:tabs>
      <w:spacing w:after="0" w:line="240" w:lineRule="auto"/>
      <w:rPr>
        <w:color w:val="000000"/>
      </w:rPr>
    </w:pPr>
    <w:r>
      <w:rPr>
        <w:color w:val="000000"/>
      </w:rPr>
      <w:tab/>
    </w:r>
    <w:r>
      <w:rPr>
        <w:noProof/>
      </w:rPr>
      <w:drawing>
        <wp:anchor distT="0" distB="0" distL="114300" distR="114300" simplePos="0" relativeHeight="251658240" behindDoc="0" locked="0" layoutInCell="1" hidden="0" allowOverlap="1" wp14:anchorId="64566458" wp14:editId="61548299">
          <wp:simplePos x="0" y="0"/>
          <wp:positionH relativeFrom="column">
            <wp:posOffset>-197484</wp:posOffset>
          </wp:positionH>
          <wp:positionV relativeFrom="paragraph">
            <wp:posOffset>-252728</wp:posOffset>
          </wp:positionV>
          <wp:extent cx="2311400" cy="596900"/>
          <wp:effectExtent l="0" t="0" r="0" b="0"/>
          <wp:wrapNone/>
          <wp:docPr id="12" name="image1.jpg" descr="logo uvt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 descr="logo uvt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311400" cy="5969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0000011B" w14:textId="77777777" w:rsidR="0092440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59264" behindDoc="0" locked="0" layoutInCell="1" hidden="0" allowOverlap="1" wp14:anchorId="02230060" wp14:editId="13D21FB8">
          <wp:simplePos x="0" y="0"/>
          <wp:positionH relativeFrom="column">
            <wp:posOffset>301625</wp:posOffset>
          </wp:positionH>
          <wp:positionV relativeFrom="paragraph">
            <wp:posOffset>223520</wp:posOffset>
          </wp:positionV>
          <wp:extent cx="6176645" cy="33655"/>
          <wp:effectExtent l="0" t="0" r="0" b="0"/>
          <wp:wrapSquare wrapText="bothSides" distT="0" distB="0" distL="114300" distR="114300"/>
          <wp:docPr id="14" name="image3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3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176645" cy="3365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0011C" w14:textId="77777777" w:rsidR="0092440D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60288" behindDoc="0" locked="0" layoutInCell="1" hidden="0" allowOverlap="1" wp14:anchorId="7F179C33" wp14:editId="47D056E0">
          <wp:simplePos x="0" y="0"/>
          <wp:positionH relativeFrom="column">
            <wp:posOffset>-2179319</wp:posOffset>
          </wp:positionH>
          <wp:positionV relativeFrom="paragraph">
            <wp:posOffset>372745</wp:posOffset>
          </wp:positionV>
          <wp:extent cx="8995410" cy="45085"/>
          <wp:effectExtent l="0" t="0" r="0" b="0"/>
          <wp:wrapSquare wrapText="bothSides" distT="0" distB="0" distL="114300" distR="114300"/>
          <wp:docPr id="13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8995410" cy="4508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E612A97"/>
    <w:multiLevelType w:val="hybridMultilevel"/>
    <w:tmpl w:val="40404C9E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5C20BC0"/>
    <w:multiLevelType w:val="hybridMultilevel"/>
    <w:tmpl w:val="C296929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16340E2"/>
    <w:multiLevelType w:val="hybridMultilevel"/>
    <w:tmpl w:val="DB58788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6320CBF"/>
    <w:multiLevelType w:val="multilevel"/>
    <w:tmpl w:val="3E104364"/>
    <w:lvl w:ilvl="0">
      <w:start w:val="1"/>
      <w:numFmt w:val="bullet"/>
      <w:lvlText w:val="●"/>
      <w:lvlJc w:val="left"/>
      <w:pPr>
        <w:ind w:left="827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547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267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987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707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427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147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867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587" w:hanging="360"/>
      </w:pPr>
      <w:rPr>
        <w:rFonts w:ascii="Noto Sans Symbols" w:eastAsia="Noto Sans Symbols" w:hAnsi="Noto Sans Symbols" w:cs="Noto Sans Symbols"/>
      </w:rPr>
    </w:lvl>
  </w:abstractNum>
  <w:abstractNum w:abstractNumId="4" w15:restartNumberingAfterBreak="0">
    <w:nsid w:val="5E2D3E78"/>
    <w:multiLevelType w:val="multilevel"/>
    <w:tmpl w:val="6D0E370C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" w15:restartNumberingAfterBreak="0">
    <w:nsid w:val="7691592D"/>
    <w:multiLevelType w:val="hybridMultilevel"/>
    <w:tmpl w:val="D134746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6" w15:restartNumberingAfterBreak="0">
    <w:nsid w:val="7A987988"/>
    <w:multiLevelType w:val="hybridMultilevel"/>
    <w:tmpl w:val="53B26E8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7B4D0CA0"/>
    <w:multiLevelType w:val="multilevel"/>
    <w:tmpl w:val="2FA2D904"/>
    <w:lvl w:ilvl="0">
      <w:start w:val="1"/>
      <w:numFmt w:val="decimal"/>
      <w:lvlText w:val="%1."/>
      <w:lvlJc w:val="left"/>
      <w:pPr>
        <w:ind w:left="966" w:hanging="356"/>
      </w:pPr>
      <w:rPr>
        <w:rFonts w:ascii="Times New Roman" w:eastAsia="Times New Roman" w:hAnsi="Times New Roman" w:cs="Times New Roman"/>
        <w:b/>
        <w:sz w:val="22"/>
        <w:szCs w:val="22"/>
      </w:rPr>
    </w:lvl>
    <w:lvl w:ilvl="1">
      <w:numFmt w:val="bullet"/>
      <w:lvlText w:val="•"/>
      <w:lvlJc w:val="left"/>
      <w:pPr>
        <w:ind w:left="1936" w:hanging="356"/>
      </w:pPr>
    </w:lvl>
    <w:lvl w:ilvl="2">
      <w:numFmt w:val="bullet"/>
      <w:lvlText w:val="•"/>
      <w:lvlJc w:val="left"/>
      <w:pPr>
        <w:ind w:left="2912" w:hanging="356"/>
      </w:pPr>
    </w:lvl>
    <w:lvl w:ilvl="3">
      <w:numFmt w:val="bullet"/>
      <w:lvlText w:val="•"/>
      <w:lvlJc w:val="left"/>
      <w:pPr>
        <w:ind w:left="3888" w:hanging="356"/>
      </w:pPr>
    </w:lvl>
    <w:lvl w:ilvl="4">
      <w:numFmt w:val="bullet"/>
      <w:lvlText w:val="•"/>
      <w:lvlJc w:val="left"/>
      <w:pPr>
        <w:ind w:left="4864" w:hanging="356"/>
      </w:pPr>
    </w:lvl>
    <w:lvl w:ilvl="5">
      <w:numFmt w:val="bullet"/>
      <w:lvlText w:val="•"/>
      <w:lvlJc w:val="left"/>
      <w:pPr>
        <w:ind w:left="5840" w:hanging="356"/>
      </w:pPr>
    </w:lvl>
    <w:lvl w:ilvl="6">
      <w:numFmt w:val="bullet"/>
      <w:lvlText w:val="•"/>
      <w:lvlJc w:val="left"/>
      <w:pPr>
        <w:ind w:left="6816" w:hanging="356"/>
      </w:pPr>
    </w:lvl>
    <w:lvl w:ilvl="7">
      <w:numFmt w:val="bullet"/>
      <w:lvlText w:val="•"/>
      <w:lvlJc w:val="left"/>
      <w:pPr>
        <w:ind w:left="7792" w:hanging="356"/>
      </w:pPr>
    </w:lvl>
    <w:lvl w:ilvl="8">
      <w:numFmt w:val="bullet"/>
      <w:lvlText w:val="•"/>
      <w:lvlJc w:val="left"/>
      <w:pPr>
        <w:ind w:left="8768" w:hanging="356"/>
      </w:pPr>
    </w:lvl>
  </w:abstractNum>
  <w:num w:numId="1" w16cid:durableId="1030107188">
    <w:abstractNumId w:val="7"/>
  </w:num>
  <w:num w:numId="2" w16cid:durableId="1985503567">
    <w:abstractNumId w:val="3"/>
  </w:num>
  <w:num w:numId="3" w16cid:durableId="48916593">
    <w:abstractNumId w:val="4"/>
  </w:num>
  <w:num w:numId="4" w16cid:durableId="784930184">
    <w:abstractNumId w:val="2"/>
  </w:num>
  <w:num w:numId="5" w16cid:durableId="857504008">
    <w:abstractNumId w:val="6"/>
  </w:num>
  <w:num w:numId="6" w16cid:durableId="1038628970">
    <w:abstractNumId w:val="5"/>
  </w:num>
  <w:num w:numId="7" w16cid:durableId="1156916877">
    <w:abstractNumId w:val="0"/>
  </w:num>
  <w:num w:numId="8" w16cid:durableId="16822739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440D"/>
    <w:rsid w:val="00027635"/>
    <w:rsid w:val="00093457"/>
    <w:rsid w:val="00133D5C"/>
    <w:rsid w:val="00194358"/>
    <w:rsid w:val="001A7421"/>
    <w:rsid w:val="002B596D"/>
    <w:rsid w:val="002C0E39"/>
    <w:rsid w:val="0031618E"/>
    <w:rsid w:val="00336FE7"/>
    <w:rsid w:val="003A2F70"/>
    <w:rsid w:val="00402DDC"/>
    <w:rsid w:val="004A4FEC"/>
    <w:rsid w:val="004B67E4"/>
    <w:rsid w:val="004F1412"/>
    <w:rsid w:val="005D3E8C"/>
    <w:rsid w:val="005E3C4A"/>
    <w:rsid w:val="005E7C9D"/>
    <w:rsid w:val="00651735"/>
    <w:rsid w:val="00717186"/>
    <w:rsid w:val="00722F46"/>
    <w:rsid w:val="00783113"/>
    <w:rsid w:val="007B1F3C"/>
    <w:rsid w:val="007E3DF3"/>
    <w:rsid w:val="00866AA5"/>
    <w:rsid w:val="008D6464"/>
    <w:rsid w:val="008E731E"/>
    <w:rsid w:val="0092440D"/>
    <w:rsid w:val="00950C7D"/>
    <w:rsid w:val="0099604A"/>
    <w:rsid w:val="009A2736"/>
    <w:rsid w:val="00A6548B"/>
    <w:rsid w:val="00AD1DE3"/>
    <w:rsid w:val="00B12DC7"/>
    <w:rsid w:val="00B26EFB"/>
    <w:rsid w:val="00BF5DA4"/>
    <w:rsid w:val="00C37EA9"/>
    <w:rsid w:val="00D05AD9"/>
    <w:rsid w:val="00D1518E"/>
    <w:rsid w:val="00D200FF"/>
    <w:rsid w:val="00E12473"/>
    <w:rsid w:val="00EB08B5"/>
    <w:rsid w:val="00F12D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D2D5B9D"/>
  <w15:docId w15:val="{775E2B2A-B1EE-A945-90A2-6EE96C9C18F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ro-RO" w:eastAsia="en-GB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43CED"/>
  </w:style>
  <w:style w:type="paragraph" w:styleId="Heading1">
    <w:name w:val="heading 1"/>
    <w:basedOn w:val="Normal"/>
    <w:next w:val="Normal"/>
    <w:link w:val="Heading1Char"/>
    <w:uiPriority w:val="9"/>
    <w:qFormat/>
    <w:rsid w:val="000F382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71E85"/>
    <w:pPr>
      <w:keepNext/>
      <w:spacing w:before="240" w:after="60" w:line="240" w:lineRule="auto"/>
      <w:outlineLvl w:val="1"/>
    </w:pPr>
    <w:rPr>
      <w:rFonts w:ascii="Arial" w:hAnsi="Arial" w:cs="Times New Roman"/>
      <w:b/>
      <w:bCs/>
      <w:i/>
      <w:iCs/>
      <w:sz w:val="28"/>
      <w:szCs w:val="28"/>
      <w:lang w:eastAsia="ro-RO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basedOn w:val="Normal"/>
    <w:link w:val="ListParagraphChar"/>
    <w:uiPriority w:val="1"/>
    <w:qFormat/>
    <w:rsid w:val="00F43CED"/>
    <w:pPr>
      <w:ind w:left="720"/>
      <w:contextualSpacing/>
    </w:pPr>
  </w:style>
  <w:style w:type="character" w:customStyle="1" w:styleId="fontstyle01">
    <w:name w:val="fontstyle01"/>
    <w:basedOn w:val="DefaultParagraphFont"/>
    <w:rsid w:val="00586D31"/>
    <w:rPr>
      <w:rFonts w:ascii="Arial" w:hAnsi="Arial" w:cs="Arial" w:hint="default"/>
      <w:b/>
      <w:bCs/>
      <w:i w:val="0"/>
      <w:iCs w:val="0"/>
      <w:color w:val="333333"/>
      <w:sz w:val="22"/>
      <w:szCs w:val="22"/>
    </w:rPr>
  </w:style>
  <w:style w:type="character" w:customStyle="1" w:styleId="fontstyle21">
    <w:name w:val="fontstyle21"/>
    <w:basedOn w:val="DefaultParagraphFont"/>
    <w:rsid w:val="00586D31"/>
    <w:rPr>
      <w:rFonts w:ascii="Arial" w:hAnsi="Arial" w:cs="Arial" w:hint="default"/>
      <w:b w:val="0"/>
      <w:bCs w:val="0"/>
      <w:i w:val="0"/>
      <w:iCs w:val="0"/>
      <w:color w:val="333333"/>
      <w:sz w:val="22"/>
      <w:szCs w:val="22"/>
    </w:rPr>
  </w:style>
  <w:style w:type="paragraph" w:customStyle="1" w:styleId="Default">
    <w:name w:val="Default"/>
    <w:rsid w:val="00586D31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paragraph" w:styleId="Header">
    <w:name w:val="header"/>
    <w:basedOn w:val="Normal"/>
    <w:link w:val="HeaderChar"/>
    <w:uiPriority w:val="99"/>
    <w:unhideWhenUsed/>
    <w:rsid w:val="001927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192752"/>
  </w:style>
  <w:style w:type="paragraph" w:styleId="Footer">
    <w:name w:val="footer"/>
    <w:basedOn w:val="Normal"/>
    <w:link w:val="FooterChar"/>
    <w:uiPriority w:val="99"/>
    <w:unhideWhenUsed/>
    <w:rsid w:val="00192752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192752"/>
  </w:style>
  <w:style w:type="character" w:styleId="PageNumber">
    <w:name w:val="page number"/>
    <w:basedOn w:val="DefaultParagraphFont"/>
    <w:uiPriority w:val="99"/>
    <w:rsid w:val="00A933CC"/>
  </w:style>
  <w:style w:type="table" w:styleId="TableGrid">
    <w:name w:val="Table Grid"/>
    <w:basedOn w:val="TableNormal"/>
    <w:uiPriority w:val="39"/>
    <w:rsid w:val="00DC56B7"/>
    <w:pPr>
      <w:spacing w:after="0" w:line="240" w:lineRule="auto"/>
    </w:pPr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CB49A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49A1"/>
    <w:rPr>
      <w:rFonts w:ascii="Segoe UI" w:hAnsi="Segoe UI" w:cs="Segoe UI"/>
      <w:sz w:val="18"/>
      <w:szCs w:val="18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359E5"/>
    <w:pPr>
      <w:spacing w:after="0"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359E5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D359E5"/>
    <w:rPr>
      <w:vertAlign w:val="superscript"/>
    </w:rPr>
  </w:style>
  <w:style w:type="character" w:customStyle="1" w:styleId="ListParagraphChar">
    <w:name w:val="List Paragraph Char"/>
    <w:link w:val="ListParagraph"/>
    <w:uiPriority w:val="1"/>
    <w:locked/>
    <w:rsid w:val="00FD46A3"/>
  </w:style>
  <w:style w:type="table" w:customStyle="1" w:styleId="TableGrid1">
    <w:name w:val="Table Grid1"/>
    <w:basedOn w:val="TableNormal"/>
    <w:next w:val="TableGrid"/>
    <w:uiPriority w:val="99"/>
    <w:rsid w:val="00697DB7"/>
    <w:pPr>
      <w:spacing w:after="0" w:line="240" w:lineRule="auto"/>
    </w:pPr>
    <w:rPr>
      <w:sz w:val="20"/>
      <w:szCs w:val="20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customStyle="1" w:styleId="Heading2Char">
    <w:name w:val="Heading 2 Char"/>
    <w:basedOn w:val="DefaultParagraphFont"/>
    <w:link w:val="Heading2"/>
    <w:rsid w:val="00571E85"/>
    <w:rPr>
      <w:rFonts w:ascii="Arial" w:eastAsia="Calibri" w:hAnsi="Arial" w:cs="Times New Roman"/>
      <w:b/>
      <w:bCs/>
      <w:i/>
      <w:iCs/>
      <w:sz w:val="28"/>
      <w:szCs w:val="28"/>
      <w:lang w:val="ro-RO" w:eastAsia="ro-RO"/>
    </w:rPr>
  </w:style>
  <w:style w:type="paragraph" w:styleId="BodyTextIndent2">
    <w:name w:val="Body Text Indent 2"/>
    <w:basedOn w:val="Normal"/>
    <w:link w:val="BodyTextIndent2Char"/>
    <w:rsid w:val="00571E85"/>
    <w:pPr>
      <w:spacing w:after="0" w:line="240" w:lineRule="auto"/>
      <w:ind w:left="360" w:firstLine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Indent2Char">
    <w:name w:val="Body Text Indent 2 Char"/>
    <w:basedOn w:val="DefaultParagraphFont"/>
    <w:link w:val="BodyTextIndent2"/>
    <w:rsid w:val="00571E85"/>
    <w:rPr>
      <w:rFonts w:ascii="Times New Roman" w:eastAsia="Times New Roman" w:hAnsi="Times New Roman" w:cs="Times New Roman"/>
      <w:sz w:val="24"/>
      <w:szCs w:val="24"/>
      <w:lang w:val="ro-RO"/>
    </w:rPr>
  </w:style>
  <w:style w:type="paragraph" w:styleId="BodyTextIndent3">
    <w:name w:val="Body Text Indent 3"/>
    <w:basedOn w:val="Normal"/>
    <w:link w:val="BodyTextIndent3Char"/>
    <w:rsid w:val="00571E85"/>
    <w:pPr>
      <w:spacing w:after="0" w:line="240" w:lineRule="auto"/>
      <w:ind w:left="360" w:firstLine="360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Indent3Char">
    <w:name w:val="Body Text Indent 3 Char"/>
    <w:basedOn w:val="DefaultParagraphFont"/>
    <w:link w:val="BodyTextIndent3"/>
    <w:rsid w:val="00571E85"/>
    <w:rPr>
      <w:rFonts w:ascii="Times New Roman" w:eastAsia="Times New Roman" w:hAnsi="Times New Roman" w:cs="Times New Roman"/>
      <w:sz w:val="24"/>
      <w:szCs w:val="24"/>
      <w:lang w:val="ro-RO"/>
    </w:rPr>
  </w:style>
  <w:style w:type="character" w:styleId="Hyperlink">
    <w:name w:val="Hyperlink"/>
    <w:basedOn w:val="DefaultParagraphFont"/>
    <w:uiPriority w:val="99"/>
    <w:unhideWhenUsed/>
    <w:rsid w:val="004E002A"/>
    <w:rPr>
      <w:color w:val="0563C1" w:themeColor="hyperlink"/>
      <w:u w:val="single"/>
    </w:rPr>
  </w:style>
  <w:style w:type="paragraph" w:styleId="BodyText">
    <w:name w:val="Body Text"/>
    <w:basedOn w:val="Normal"/>
    <w:link w:val="BodyTextChar"/>
    <w:uiPriority w:val="99"/>
    <w:unhideWhenUsed/>
    <w:rsid w:val="00A61B08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rsid w:val="00A61B08"/>
  </w:style>
  <w:style w:type="paragraph" w:customStyle="1" w:styleId="TableParagraph">
    <w:name w:val="Table Paragraph"/>
    <w:basedOn w:val="Normal"/>
    <w:uiPriority w:val="1"/>
    <w:qFormat/>
    <w:rsid w:val="00A61B0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o-RO" w:bidi="ro-RO"/>
    </w:rPr>
  </w:style>
  <w:style w:type="paragraph" w:styleId="Revision">
    <w:name w:val="Revision"/>
    <w:hidden/>
    <w:uiPriority w:val="99"/>
    <w:semiHidden/>
    <w:rsid w:val="00C63511"/>
    <w:pPr>
      <w:spacing w:after="0" w:line="240" w:lineRule="auto"/>
    </w:pPr>
  </w:style>
  <w:style w:type="paragraph" w:styleId="EndnoteText">
    <w:name w:val="endnote text"/>
    <w:basedOn w:val="Normal"/>
    <w:link w:val="EndnoteTextChar"/>
    <w:uiPriority w:val="99"/>
    <w:semiHidden/>
    <w:unhideWhenUsed/>
    <w:rsid w:val="00784942"/>
    <w:pPr>
      <w:spacing w:after="0" w:line="240" w:lineRule="auto"/>
    </w:pPr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784942"/>
    <w:rPr>
      <w:sz w:val="20"/>
      <w:szCs w:val="20"/>
    </w:rPr>
  </w:style>
  <w:style w:type="character" w:styleId="EndnoteReference">
    <w:name w:val="endnote reference"/>
    <w:basedOn w:val="DefaultParagraphFont"/>
    <w:uiPriority w:val="99"/>
    <w:semiHidden/>
    <w:unhideWhenUsed/>
    <w:rsid w:val="00784942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8D350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8D350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8D3509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8D350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8D3509"/>
    <w:rPr>
      <w:b/>
      <w:bCs/>
      <w:sz w:val="20"/>
      <w:szCs w:val="20"/>
    </w:rPr>
  </w:style>
  <w:style w:type="character" w:customStyle="1" w:styleId="Heading1Char">
    <w:name w:val="Heading 1 Char"/>
    <w:basedOn w:val="DefaultParagraphFont"/>
    <w:link w:val="Heading1"/>
    <w:uiPriority w:val="9"/>
    <w:rsid w:val="000F3822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NormalWeb">
    <w:name w:val="Normal (Web)"/>
    <w:basedOn w:val="Normal"/>
    <w:uiPriority w:val="99"/>
    <w:semiHidden/>
    <w:unhideWhenUsed/>
    <w:rsid w:val="00B1010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zh-CN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character" w:styleId="UnresolvedMention">
    <w:name w:val="Unresolved Mention"/>
    <w:basedOn w:val="DefaultParagraphFont"/>
    <w:uiPriority w:val="99"/>
    <w:semiHidden/>
    <w:unhideWhenUsed/>
    <w:rsid w:val="0031618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DefaultParagraphFont"/>
    <w:rsid w:val="00E124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doi.org/10.3109/09638288.2011.624250" TargetMode="External"/><Relationship Id="rId18" Type="http://schemas.openxmlformats.org/officeDocument/2006/relationships/hyperlink" Target="http://integration.ofetin.ro/index.php/ro/privilege-walk-2" TargetMode="External"/><Relationship Id="rId26" Type="http://schemas.openxmlformats.org/officeDocument/2006/relationships/fontTable" Target="fontTable.xml"/><Relationship Id="rId3" Type="http://schemas.openxmlformats.org/officeDocument/2006/relationships/numbering" Target="numbering.xml"/><Relationship Id="rId21" Type="http://schemas.openxmlformats.org/officeDocument/2006/relationships/hyperlink" Target="https://web.uri.edu/atl/teaching/deij/" TargetMode="External"/><Relationship Id="rId7" Type="http://schemas.openxmlformats.org/officeDocument/2006/relationships/footnotes" Target="footnotes.xml"/><Relationship Id="rId12" Type="http://schemas.openxmlformats.org/officeDocument/2006/relationships/hyperlink" Target="https://doi.org/10.11648/j.edu.20200906.13" TargetMode="External"/><Relationship Id="rId17" Type="http://schemas.openxmlformats.org/officeDocument/2006/relationships/hyperlink" Target="https://blogs.lse.ac.uk/impactofsocialsciences/2022/05/16/aspirational-metrics-a-guide-for-working-towards-citational-justice/" TargetMode="External"/><Relationship Id="rId25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hyperlink" Target="https://guides.lib.uw.edu/hsl/cj" TargetMode="External"/><Relationship Id="rId20" Type="http://schemas.openxmlformats.org/officeDocument/2006/relationships/hyperlink" Target="https://thelistenerscollective.org/indian-wheel-of-power-powerlessness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s://doi.org/10.1086/669608" TargetMode="External"/><Relationship Id="rId24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s://instructionalmoves.gse.harvard.edu/educating-for-equity-and-inclusion" TargetMode="External"/><Relationship Id="rId23" Type="http://schemas.openxmlformats.org/officeDocument/2006/relationships/header" Target="header1.xml"/><Relationship Id="rId10" Type="http://schemas.openxmlformats.org/officeDocument/2006/relationships/hyperlink" Target="https://doi.org/10.1038/s43586-023-00214-1" TargetMode="External"/><Relationship Id="rId19" Type="http://schemas.openxmlformats.org/officeDocument/2006/relationships/hyperlink" Target="https://www.ssw.umaryland.edu/media/ssw/field-education/2---The-6-Pillars-of-Brave-Space.pdf" TargetMode="External"/><Relationship Id="rId4" Type="http://schemas.openxmlformats.org/officeDocument/2006/relationships/styles" Target="styles.xml"/><Relationship Id="rId9" Type="http://schemas.openxmlformats.org/officeDocument/2006/relationships/hyperlink" Target="https://www.ahead.ie/udl-pyramid" TargetMode="External"/><Relationship Id="rId14" Type="http://schemas.openxmlformats.org/officeDocument/2006/relationships/hyperlink" Target="https://doi.org/10.4135/9781529689815" TargetMode="External"/><Relationship Id="rId22" Type="http://schemas.openxmlformats.org/officeDocument/2006/relationships/hyperlink" Target="https://www.birmingham.ac.uk/news/2023/citation-justice-what-it-is-and-how-you-can-practice-it" TargetMode="External"/><Relationship Id="rId27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bVklYzWX3KdzJAgUlbkZVySn12A==">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</go:docsCustomData>
</go:gDocsCustomXmlDataStorage>
</file>

<file path=customXml/itemProps1.xml><?xml version="1.0" encoding="utf-8"?>
<ds:datastoreItem xmlns:ds="http://schemas.openxmlformats.org/officeDocument/2006/customXml" ds:itemID="{6A79A447-7B9D-4A19-945B-415362625738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142</TotalTime>
  <Pages>8</Pages>
  <Words>2822</Words>
  <Characters>16090</Characters>
  <Application>Microsoft Office Word</Application>
  <DocSecurity>0</DocSecurity>
  <Lines>134</Lines>
  <Paragraphs>37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The authors</cp:lastModifiedBy>
  <cp:revision>24</cp:revision>
  <dcterms:created xsi:type="dcterms:W3CDTF">2024-09-09T09:40:00Z</dcterms:created>
  <dcterms:modified xsi:type="dcterms:W3CDTF">2024-09-17T10:50:00Z</dcterms:modified>
</cp:coreProperties>
</file>