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FIȘA DISCIPLINEI </w:t>
      </w: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Date despre program </w:t>
      </w:r>
      <w:r w:rsidDel="00000000" w:rsidR="00000000" w:rsidRPr="00000000">
        <w:rPr>
          <w:rtl w:val="0"/>
        </w:rPr>
      </w:r>
    </w:p>
    <w:tbl>
      <w:tblPr>
        <w:tblStyle w:val="Table1"/>
        <w:tblW w:w="10191.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6"/>
        <w:gridCol w:w="6085"/>
        <w:tblGridChange w:id="0">
          <w:tblGrid>
            <w:gridCol w:w="4106"/>
            <w:gridCol w:w="6085"/>
          </w:tblGrid>
        </w:tblGridChange>
      </w:tblGrid>
      <w:tr>
        <w:trPr>
          <w:cantSplit w:val="0"/>
          <w:trHeight w:val="290" w:hRule="atLeast"/>
          <w:tblHeader w:val="0"/>
        </w:trPr>
        <w:tc>
          <w:tcPr/>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 Instituția de învățământ superior</w:t>
            </w:r>
          </w:p>
        </w:tc>
        <w:tc>
          <w:tcPr>
            <w:vAlign w:val="cente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276" w:lineRule="auto"/>
              <w:ind w:left="141.7322834645671" w:right="137.2440944881884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Universitatea de Vest din Timișoara</w:t>
            </w:r>
          </w:p>
        </w:tc>
      </w:tr>
      <w:tr>
        <w:trPr>
          <w:cantSplit w:val="0"/>
          <w:trHeight w:val="290" w:hRule="atLeast"/>
          <w:tblHeader w:val="0"/>
        </w:trPr>
        <w:tc>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Facultatea</w:t>
            </w:r>
          </w:p>
        </w:tc>
        <w:tc>
          <w:tcPr>
            <w:vAlign w:val="cente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141.7322834645671" w:right="137.2440944881884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Departamentul pentru Pregătirea Personalului Didactic/</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76" w:lineRule="auto"/>
              <w:ind w:left="141.7322834645671" w:right="137.2440944881884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Centrul de Dezvoltare Academică</w:t>
            </w:r>
          </w:p>
        </w:tc>
      </w:tr>
      <w:tr>
        <w:trPr>
          <w:cantSplit w:val="0"/>
          <w:trHeight w:val="290" w:hRule="atLeast"/>
          <w:tblHeader w:val="0"/>
        </w:trPr>
        <w:tc>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1.3. Domeniul de studii</w:t>
            </w:r>
          </w:p>
        </w:tc>
        <w:tc>
          <w:tcPr>
            <w:vAlign w:val="cente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76" w:lineRule="auto"/>
              <w:ind w:left="141.7322834645671" w:right="137.2440944881884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Științe ale educației </w:t>
            </w:r>
          </w:p>
        </w:tc>
      </w:tr>
      <w:tr>
        <w:trPr>
          <w:cantSplit w:val="0"/>
          <w:trHeight w:val="292" w:hRule="atLeast"/>
          <w:tblHeader w:val="0"/>
        </w:trPr>
        <w:tc>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 Programul de studii postuniversitare</w:t>
            </w:r>
          </w:p>
        </w:tc>
        <w:tc>
          <w:tcPr>
            <w:vAlign w:val="cente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76" w:lineRule="auto"/>
              <w:ind w:left="141.7322834645671" w:right="137.2440944881884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UVT Teaching &amp; Learning Brand: program de dezvoltare inițială a instruirii reflexiv-colaborative a cadrelor didactice universitare</w:t>
            </w:r>
          </w:p>
        </w:tc>
      </w:tr>
    </w:tbl>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Date despre disciplină </w:t>
      </w:r>
      <w:r w:rsidDel="00000000" w:rsidR="00000000" w:rsidRPr="00000000">
        <w:rPr>
          <w:rtl w:val="0"/>
        </w:rPr>
      </w:r>
    </w:p>
    <w:tbl>
      <w:tblPr>
        <w:tblStyle w:val="Table2"/>
        <w:tblW w:w="10212.0" w:type="dxa"/>
        <w:jc w:val="left"/>
        <w:tblInd w:w="-4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4"/>
        <w:gridCol w:w="6108"/>
        <w:tblGridChange w:id="0">
          <w:tblGrid>
            <w:gridCol w:w="4104"/>
            <w:gridCol w:w="6108"/>
          </w:tblGrid>
        </w:tblGridChange>
      </w:tblGrid>
      <w:tr>
        <w:trPr>
          <w:cantSplit w:val="0"/>
          <w:trHeight w:val="290" w:hRule="atLeast"/>
          <w:tblHeader w:val="0"/>
        </w:trPr>
        <w:tc>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 Denumire disciplină</w:t>
            </w:r>
          </w:p>
        </w:tc>
        <w:tc>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76" w:lineRule="auto"/>
              <w:ind w:left="141.732283464567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Învățare reflexiv-colaborativă: practică didactică, comunități de învățare și mentoring</w:t>
            </w:r>
          </w:p>
        </w:tc>
      </w:tr>
      <w:tr>
        <w:trPr>
          <w:cantSplit w:val="0"/>
          <w:trHeight w:val="292" w:hRule="atLeast"/>
          <w:tblHeader w:val="0"/>
        </w:trPr>
        <w:tc>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 Titular activități de curs</w:t>
            </w:r>
          </w:p>
        </w:tc>
        <w:tc>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76" w:lineRule="auto"/>
              <w:ind w:left="141.732283464567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90" w:hRule="atLeast"/>
          <w:tblHeader w:val="0"/>
        </w:trPr>
        <w:tc>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 Titular activități de seminar</w:t>
            </w:r>
          </w:p>
        </w:tc>
        <w:tc>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76" w:lineRule="auto"/>
              <w:ind w:left="141.732283464567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90" w:hRule="atLeast"/>
          <w:tblHeader w:val="0"/>
        </w:trPr>
        <w:tc>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 Titular activități de laborator/lucrări</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141.732283464567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Lector univ. dr. Nicolae HURDUZEU</w:t>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276" w:lineRule="auto"/>
              <w:ind w:left="141.732283464567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Asistent de cercetare drd. Daniela VOINESCU</w:t>
            </w:r>
            <w:r w:rsidDel="00000000" w:rsidR="00000000" w:rsidRPr="00000000">
              <w:rPr>
                <w:rtl w:val="0"/>
              </w:rPr>
            </w:r>
          </w:p>
          <w:p w:rsidR="00000000" w:rsidDel="00000000" w:rsidP="00000000" w:rsidRDefault="00000000" w:rsidRPr="00000000" w14:paraId="00000019">
            <w:pPr>
              <w:ind w:left="141.732283464567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Asistent de cercetare drd. Velibor MLADENOVICI</w:t>
            </w:r>
          </w:p>
        </w:tc>
      </w:tr>
    </w:tbl>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Timpul total estimat </w:t>
      </w:r>
      <w:r w:rsidDel="00000000" w:rsidR="00000000" w:rsidRPr="00000000">
        <w:rPr>
          <w:rtl w:val="0"/>
        </w:rPr>
      </w:r>
    </w:p>
    <w:tbl>
      <w:tblPr>
        <w:tblStyle w:val="Table3"/>
        <w:tblW w:w="10350.0" w:type="dxa"/>
        <w:jc w:val="left"/>
        <w:tblInd w:w="-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80"/>
        <w:gridCol w:w="420"/>
        <w:gridCol w:w="570"/>
        <w:gridCol w:w="990"/>
        <w:gridCol w:w="285"/>
        <w:gridCol w:w="420"/>
        <w:gridCol w:w="1155"/>
        <w:gridCol w:w="240"/>
        <w:gridCol w:w="1170"/>
        <w:gridCol w:w="720"/>
        <w:tblGridChange w:id="0">
          <w:tblGrid>
            <w:gridCol w:w="4380"/>
            <w:gridCol w:w="420"/>
            <w:gridCol w:w="570"/>
            <w:gridCol w:w="990"/>
            <w:gridCol w:w="285"/>
            <w:gridCol w:w="420"/>
            <w:gridCol w:w="1155"/>
            <w:gridCol w:w="240"/>
            <w:gridCol w:w="1170"/>
            <w:gridCol w:w="720"/>
          </w:tblGrid>
        </w:tblGridChange>
      </w:tblGrid>
      <w:tr>
        <w:trPr>
          <w:cantSplit w:val="0"/>
          <w:trHeight w:val="343" w:hRule="atLeast"/>
          <w:tblHeader w:val="0"/>
        </w:trPr>
        <w:tc>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3.1. Număr de ore de activități didactice</w:t>
            </w:r>
          </w:p>
        </w:tc>
        <w:tc>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60</w:t>
            </w:r>
            <w:r w:rsidDel="00000000" w:rsidR="00000000" w:rsidRPr="00000000">
              <w:rPr>
                <w:rtl w:val="0"/>
              </w:rPr>
            </w:r>
          </w:p>
        </w:tc>
        <w:tc>
          <w:tcPr>
            <w:gridSpan w:val="3"/>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276" w:lineRule="auto"/>
              <w:ind w:left="11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din care: ore Curs</w:t>
            </w:r>
          </w:p>
        </w:tc>
        <w:tc>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276" w:lineRule="auto"/>
              <w:ind w:left="164"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Seminar</w:t>
            </w:r>
          </w:p>
        </w:tc>
        <w:tc>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276" w:lineRule="auto"/>
              <w:ind w:left="106"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L/P/AP</w:t>
            </w:r>
            <w:r w:rsidDel="00000000" w:rsidR="00000000" w:rsidRPr="00000000">
              <w:rPr>
                <w:rFonts w:ascii="Times New Roman" w:cs="Times New Roman" w:eastAsia="Times New Roman" w:hAnsi="Times New Roman"/>
                <w:color w:val="000000"/>
                <w:sz w:val="24"/>
                <w:szCs w:val="24"/>
                <w:vertAlign w:val="superscript"/>
              </w:rPr>
              <w:footnoteReference w:customMarkFollows="0" w:id="0"/>
            </w:r>
            <w:r w:rsidDel="00000000" w:rsidR="00000000" w:rsidRPr="00000000">
              <w:rPr>
                <w:rtl w:val="0"/>
              </w:rPr>
            </w:r>
          </w:p>
        </w:tc>
        <w:tc>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60</w:t>
            </w:r>
            <w:r w:rsidDel="00000000" w:rsidR="00000000" w:rsidRPr="00000000">
              <w:rPr>
                <w:rtl w:val="0"/>
              </w:rPr>
            </w:r>
          </w:p>
        </w:tc>
      </w:tr>
      <w:tr>
        <w:trPr>
          <w:cantSplit w:val="0"/>
          <w:trHeight w:val="292" w:hRule="atLeast"/>
          <w:tblHeader w:val="0"/>
        </w:trPr>
        <w:tc>
          <w:tcPr>
            <w:gridSpan w:val="8"/>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3.3. Distribuția fondului de timp de studiu individual:</w:t>
            </w:r>
          </w:p>
        </w:tc>
        <w:tc>
          <w:tcPr>
            <w:vAlign w:val="cente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b w:val="1"/>
                <w:color w:val="000000"/>
                <w:sz w:val="24"/>
                <w:szCs w:val="24"/>
              </w:rPr>
            </w:pPr>
            <w:r w:rsidDel="00000000" w:rsidR="00000000" w:rsidRPr="00000000">
              <w:rPr>
                <w:rtl w:val="0"/>
              </w:rPr>
            </w:r>
          </w:p>
        </w:tc>
        <w:tc>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276" w:lineRule="auto"/>
              <w:ind w:left="109"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ore</w:t>
            </w:r>
          </w:p>
        </w:tc>
      </w:tr>
      <w:tr>
        <w:trPr>
          <w:cantSplit w:val="0"/>
          <w:trHeight w:val="290" w:hRule="atLeast"/>
          <w:tblHeader w:val="0"/>
        </w:trPr>
        <w:tc>
          <w:tcPr>
            <w:gridSpan w:val="8"/>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Studiul după manual, suport de curs, bibliografie și notițe</w:t>
            </w:r>
          </w:p>
        </w:tc>
        <w:tc>
          <w:tcPr>
            <w:vAlign w:val="cente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w:t>
            </w:r>
          </w:p>
        </w:tc>
      </w:tr>
      <w:tr>
        <w:trPr>
          <w:cantSplit w:val="0"/>
          <w:trHeight w:val="290" w:hRule="atLeast"/>
          <w:tblHeader w:val="0"/>
        </w:trPr>
        <w:tc>
          <w:tcPr>
            <w:gridSpan w:val="8"/>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Documentare suplimentară în bibliotecă, pe platformele electronice de specialitate / pe teren</w:t>
            </w:r>
          </w:p>
        </w:tc>
        <w:tc>
          <w:tcPr>
            <w:vAlign w:val="cente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w:t>
            </w:r>
          </w:p>
        </w:tc>
      </w:tr>
      <w:tr>
        <w:trPr>
          <w:cantSplit w:val="0"/>
          <w:trHeight w:val="292" w:hRule="atLeast"/>
          <w:tblHeader w:val="0"/>
        </w:trPr>
        <w:tc>
          <w:tcPr>
            <w:gridSpan w:val="8"/>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Pregătire seminare / laboratoare, teme, referate, portofolii și eseuri</w:t>
            </w:r>
          </w:p>
        </w:tc>
        <w:tc>
          <w:tcPr>
            <w:vAlign w:val="cente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w:t>
            </w:r>
          </w:p>
        </w:tc>
      </w:tr>
      <w:tr>
        <w:trPr>
          <w:cantSplit w:val="0"/>
          <w:trHeight w:val="290" w:hRule="atLeast"/>
          <w:tblHeader w:val="0"/>
        </w:trPr>
        <w:tc>
          <w:tcPr>
            <w:gridSpan w:val="8"/>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Tutoriat</w:t>
            </w:r>
          </w:p>
        </w:tc>
        <w:tc>
          <w:tcPr>
            <w:vAlign w:val="cente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r>
      <w:tr>
        <w:trPr>
          <w:cantSplit w:val="0"/>
          <w:trHeight w:val="290" w:hRule="atLeast"/>
          <w:tblHeader w:val="0"/>
        </w:trPr>
        <w:tc>
          <w:tcPr>
            <w:gridSpan w:val="8"/>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Examinări</w:t>
            </w:r>
          </w:p>
        </w:tc>
        <w:tc>
          <w:tcPr>
            <w:vAlign w:val="cente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w:t>
            </w:r>
          </w:p>
        </w:tc>
      </w:tr>
      <w:tr>
        <w:trPr>
          <w:cantSplit w:val="0"/>
          <w:trHeight w:val="292" w:hRule="atLeast"/>
          <w:tblHeader w:val="0"/>
        </w:trPr>
        <w:tc>
          <w:tcPr>
            <w:gridSpan w:val="8"/>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Alte activități ……………………………………</w:t>
            </w:r>
          </w:p>
        </w:tc>
        <w:tc>
          <w:tcPr>
            <w:vAlign w:val="cente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290" w:hRule="atLeast"/>
          <w:tblHeader w:val="0"/>
        </w:trPr>
        <w:tc>
          <w:tcPr/>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3.4. Total ore studiu individual</w:t>
            </w:r>
          </w:p>
        </w:tc>
        <w:tc>
          <w:tcPr>
            <w:gridSpan w:val="2"/>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65</w:t>
            </w:r>
            <w:r w:rsidDel="00000000" w:rsidR="00000000" w:rsidRPr="00000000">
              <w:rPr>
                <w:rtl w:val="0"/>
              </w:rPr>
            </w:r>
          </w:p>
        </w:tc>
        <w:tc>
          <w:tcPr>
            <w:gridSpan w:val="6"/>
            <w:vMerge w:val="restart"/>
            <w:tcBorders>
              <w:bottom w:color="000000" w:space="0" w:sz="0" w:val="nil"/>
              <w:right w:color="000000" w:space="0" w:sz="0" w:val="nil"/>
            </w:tcBorders>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292" w:hRule="atLeast"/>
          <w:tblHeader w:val="0"/>
        </w:trPr>
        <w:tc>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3.5. Total ore de studiu alocate disciplinei (activități didactice + studiu individual)</w:t>
            </w:r>
          </w:p>
        </w:tc>
        <w:tc>
          <w:tcPr>
            <w:gridSpan w:val="2"/>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125</w:t>
            </w:r>
            <w:r w:rsidDel="00000000" w:rsidR="00000000" w:rsidRPr="00000000">
              <w:rPr>
                <w:rtl w:val="0"/>
              </w:rPr>
            </w:r>
          </w:p>
        </w:tc>
        <w:tc>
          <w:tcPr>
            <w:gridSpan w:val="6"/>
            <w:vMerge w:val="continue"/>
            <w:tcBorders>
              <w:bottom w:color="000000" w:space="0" w:sz="0" w:val="nil"/>
              <w:right w:color="000000" w:space="0" w:sz="0" w:val="nil"/>
            </w:tcBorders>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290" w:hRule="atLeast"/>
          <w:tblHeader w:val="0"/>
        </w:trPr>
        <w:tc>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3.6. Numărul de credite</w:t>
            </w:r>
          </w:p>
        </w:tc>
        <w:tc>
          <w:tcPr>
            <w:gridSpan w:val="2"/>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color w:val="000000"/>
                <w:sz w:val="24"/>
                <w:szCs w:val="24"/>
              </w:rPr>
            </w:pPr>
            <w:r w:rsidDel="00000000" w:rsidR="00000000" w:rsidRPr="00000000">
              <w:rPr>
                <w:rtl w:val="0"/>
              </w:rPr>
            </w:r>
          </w:p>
        </w:tc>
        <w:tc>
          <w:tcPr>
            <w:gridSpan w:val="6"/>
            <w:vMerge w:val="continue"/>
            <w:tcBorders>
              <w:bottom w:color="000000" w:space="0" w:sz="0" w:val="nil"/>
              <w:right w:color="000000" w:space="0" w:sz="0" w:val="nil"/>
            </w:tcBorders>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8A">
      <w:pPr>
        <w:jc w:val="both"/>
        <w:rPr>
          <w:rFonts w:ascii="Times New Roman" w:cs="Times New Roman" w:eastAsia="Times New Roman" w:hAnsi="Times New Roman"/>
          <w:color w:val="00b0f0"/>
        </w:rPr>
      </w:pPr>
      <w:r w:rsidDel="00000000" w:rsidR="00000000" w:rsidRPr="00000000">
        <w:rPr>
          <w:rtl w:val="0"/>
        </w:rPr>
      </w:r>
    </w:p>
    <w:p w:rsidR="00000000" w:rsidDel="00000000" w:rsidP="00000000" w:rsidRDefault="00000000" w:rsidRPr="00000000" w14:paraId="0000008B">
      <w:pPr>
        <w:widowControl w:val="0"/>
        <w:numPr>
          <w:ilvl w:val="0"/>
          <w:numId w:val="1"/>
        </w:numPr>
        <w:pBdr>
          <w:top w:space="0" w:sz="0" w:val="nil"/>
          <w:left w:space="0" w:sz="0" w:val="nil"/>
          <w:bottom w:space="0" w:sz="0" w:val="nil"/>
          <w:right w:space="0" w:sz="0" w:val="nil"/>
          <w:between w:space="0" w:sz="0" w:val="nil"/>
        </w:pBdr>
        <w:tabs>
          <w:tab w:val="left" w:leader="none" w:pos="967"/>
        </w:tabs>
        <w:spacing w:after="0" w:line="276" w:lineRule="auto"/>
        <w:ind w:left="966" w:hanging="356"/>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Precondiții pentru parcurgerea disciplinei (acolo unde este cazul)</w:t>
      </w:r>
    </w:p>
    <w:tbl>
      <w:tblPr>
        <w:tblStyle w:val="Table4"/>
        <w:tblW w:w="9689.0" w:type="dxa"/>
        <w:jc w:val="left"/>
        <w:tblInd w:w="1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5"/>
        <w:gridCol w:w="7704"/>
        <w:tblGridChange w:id="0">
          <w:tblGrid>
            <w:gridCol w:w="1985"/>
            <w:gridCol w:w="7704"/>
          </w:tblGrid>
        </w:tblGridChange>
      </w:tblGrid>
      <w:tr>
        <w:trPr>
          <w:cantSplit w:val="0"/>
          <w:trHeight w:val="309" w:hRule="atLeast"/>
          <w:tblHeader w:val="0"/>
        </w:trPr>
        <w:tc>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4.1. de curriculum</w:t>
            </w:r>
          </w:p>
        </w:tc>
        <w:tc>
          <w:tcPr/>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line="276" w:lineRule="auto"/>
              <w:ind w:left="14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 nu este cazul</w:t>
            </w:r>
            <w:r w:rsidDel="00000000" w:rsidR="00000000" w:rsidRPr="00000000">
              <w:rPr>
                <w:rtl w:val="0"/>
              </w:rPr>
            </w:r>
          </w:p>
        </w:tc>
      </w:tr>
      <w:tr>
        <w:trPr>
          <w:cantSplit w:val="0"/>
          <w:trHeight w:val="309" w:hRule="atLeast"/>
          <w:tblHeader w:val="0"/>
        </w:trPr>
        <w:tc>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4.2. de competențe</w:t>
            </w:r>
          </w:p>
        </w:tc>
        <w:tc>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after="0" w:line="276" w:lineRule="auto"/>
              <w:ind w:left="141"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 nu este cazul</w:t>
            </w:r>
            <w:r w:rsidDel="00000000" w:rsidR="00000000" w:rsidRPr="00000000">
              <w:rPr>
                <w:rtl w:val="0"/>
              </w:rPr>
            </w:r>
          </w:p>
        </w:tc>
      </w:tr>
    </w:tbl>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tabs>
          <w:tab w:val="left" w:leader="none" w:pos="967"/>
        </w:tabs>
        <w:spacing w:after="0" w:line="276" w:lineRule="auto"/>
        <w:ind w:left="966"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91">
      <w:pPr>
        <w:widowControl w:val="0"/>
        <w:numPr>
          <w:ilvl w:val="0"/>
          <w:numId w:val="1"/>
        </w:numPr>
        <w:pBdr>
          <w:top w:space="0" w:sz="0" w:val="nil"/>
          <w:left w:space="0" w:sz="0" w:val="nil"/>
          <w:bottom w:space="0" w:sz="0" w:val="nil"/>
          <w:right w:space="0" w:sz="0" w:val="nil"/>
          <w:between w:space="0" w:sz="0" w:val="nil"/>
        </w:pBdr>
        <w:tabs>
          <w:tab w:val="left" w:leader="none" w:pos="967"/>
        </w:tabs>
        <w:spacing w:after="0" w:line="276" w:lineRule="auto"/>
        <w:ind w:left="966" w:hanging="357"/>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Condiții (acolo unde este cazul)</w:t>
      </w:r>
    </w:p>
    <w:tbl>
      <w:tblPr>
        <w:tblStyle w:val="Table5"/>
        <w:tblW w:w="9689.0" w:type="dxa"/>
        <w:jc w:val="left"/>
        <w:tblInd w:w="1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8"/>
        <w:gridCol w:w="4281"/>
        <w:tblGridChange w:id="0">
          <w:tblGrid>
            <w:gridCol w:w="5408"/>
            <w:gridCol w:w="4281"/>
          </w:tblGrid>
        </w:tblGridChange>
      </w:tblGrid>
      <w:tr>
        <w:trPr>
          <w:cantSplit w:val="0"/>
          <w:trHeight w:val="402" w:hRule="atLeast"/>
          <w:tblHeader w:val="0"/>
        </w:trPr>
        <w:tc>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5.1. de desfășurare a cursului</w:t>
            </w:r>
          </w:p>
        </w:tc>
        <w:tc>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after="0" w:line="276" w:lineRule="auto"/>
              <w:ind w:left="144"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403" w:hRule="atLeast"/>
          <w:tblHeader w:val="0"/>
        </w:trPr>
        <w:tc>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5.2. de desfășurare a seminarului</w:t>
            </w:r>
          </w:p>
        </w:tc>
        <w:tc>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after="0" w:line="276" w:lineRule="auto"/>
              <w:ind w:left="144"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402" w:hRule="atLeast"/>
          <w:tblHeader w:val="0"/>
        </w:trPr>
        <w:tc>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after="0" w:line="276" w:lineRule="auto"/>
              <w:ind w:left="107"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5.3. de desfășurare a laboratorului/activităților practice</w:t>
            </w:r>
          </w:p>
        </w:tc>
        <w:tc>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line="276" w:lineRule="auto"/>
              <w:ind w:left="14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acces la internet, videoproiector, laptop, cont pe platforma de e-learning a CDA.</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line="276" w:lineRule="auto"/>
              <w:ind w:left="14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realizarea sarcinilor aferente elaborării proiectelor de activitate;</w:t>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line="276" w:lineRule="auto"/>
              <w:ind w:left="144"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completarea jurnalului reflexiv după fiecare activitate la care participă</w:t>
            </w:r>
            <w:r w:rsidDel="00000000" w:rsidR="00000000" w:rsidRPr="00000000">
              <w:rPr>
                <w:rtl w:val="0"/>
              </w:rPr>
            </w:r>
          </w:p>
        </w:tc>
      </w:tr>
    </w:tbl>
    <w:p w:rsidR="00000000" w:rsidDel="00000000" w:rsidP="00000000" w:rsidRDefault="00000000" w:rsidRPr="00000000" w14:paraId="0000009A">
      <w:pPr>
        <w:spacing w:after="0" w:line="276"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B">
      <w:pPr>
        <w:spacing w:after="0" w:line="276"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C">
      <w:pPr>
        <w:widowControl w:val="0"/>
        <w:numPr>
          <w:ilvl w:val="0"/>
          <w:numId w:val="1"/>
        </w:numPr>
        <w:pBdr>
          <w:top w:space="0" w:sz="0" w:val="nil"/>
          <w:left w:space="0" w:sz="0" w:val="nil"/>
          <w:bottom w:space="0" w:sz="0" w:val="nil"/>
          <w:right w:space="0" w:sz="0" w:val="nil"/>
          <w:between w:space="0" w:sz="0" w:val="nil"/>
        </w:pBdr>
        <w:tabs>
          <w:tab w:val="left" w:leader="none" w:pos="967"/>
        </w:tabs>
        <w:spacing w:after="0" w:line="276" w:lineRule="auto"/>
        <w:ind w:left="966" w:hanging="357"/>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Rezultatele așteptate ale învățării</w:t>
      </w:r>
    </w:p>
    <w:tbl>
      <w:tblPr>
        <w:tblStyle w:val="Table6"/>
        <w:tblW w:w="9689.0" w:type="dxa"/>
        <w:jc w:val="left"/>
        <w:tblInd w:w="1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7560"/>
        <w:tblGridChange w:id="0">
          <w:tblGrid>
            <w:gridCol w:w="2129"/>
            <w:gridCol w:w="7560"/>
          </w:tblGrid>
        </w:tblGridChange>
      </w:tblGrid>
      <w:tr>
        <w:trPr>
          <w:cantSplit w:val="0"/>
          <w:trHeight w:val="763" w:hRule="atLeast"/>
          <w:tblHeader w:val="0"/>
        </w:trPr>
        <w:tc>
          <w:tcPr>
            <w:vAlign w:val="cente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after="0" w:line="276" w:lineRule="auto"/>
              <w:ind w:left="251" w:firstLine="0"/>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Cunoștințe</w:t>
            </w:r>
          </w:p>
        </w:tc>
        <w:tc>
          <w:tcPr>
            <w:vAlign w:val="center"/>
          </w:tcPr>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172"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demonstreze cunoașterea teoriilor și practicilor de predare și învățare în învățământul superior</w:t>
            </w:r>
          </w:p>
          <w:p w:rsidR="00000000" w:rsidDel="00000000" w:rsidP="00000000" w:rsidRDefault="00000000" w:rsidRPr="00000000" w14:paraId="0000009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74"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demonstreze cunoașterea principiilor de aliniere curriculară în proiectarea propriilor fișe de disciplină</w:t>
            </w:r>
          </w:p>
          <w:p w:rsidR="00000000" w:rsidDel="00000000" w:rsidP="00000000" w:rsidRDefault="00000000" w:rsidRPr="00000000" w14:paraId="000000A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74"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exemplifice utilizarea fiecărui principiu didactic al brandului de predare și învățare al UVT</w:t>
            </w:r>
          </w:p>
          <w:p w:rsidR="00000000" w:rsidDel="00000000" w:rsidP="00000000" w:rsidRDefault="00000000" w:rsidRPr="00000000" w14:paraId="000000A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74"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argumenteze eficiența respectării principiilor didactice ale brandului de predare și învățare al UVT prin raportare la dovezi (fundamentate științific)</w:t>
            </w:r>
          </w:p>
        </w:tc>
      </w:tr>
      <w:tr>
        <w:trPr>
          <w:cantSplit w:val="0"/>
          <w:trHeight w:val="529" w:hRule="atLeast"/>
          <w:tblHeader w:val="0"/>
        </w:trPr>
        <w:tc>
          <w:tcPr>
            <w:vAlign w:val="cente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after="0" w:line="276" w:lineRule="auto"/>
              <w:ind w:left="17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Abilități</w:t>
            </w:r>
            <w:r w:rsidDel="00000000" w:rsidR="00000000" w:rsidRPr="00000000">
              <w:rPr>
                <w:rtl w:val="0"/>
              </w:rPr>
            </w:r>
          </w:p>
        </w:tc>
        <w:tc>
          <w:tcPr>
            <w:vAlign w:val="center"/>
          </w:tcPr>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172"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proiecteze, la nivel micro, disciplina de referință prin utilizarea reperelor teoretice furnizate de modelul reflectiv – colaborativ de dezvoltare curriculară</w:t>
            </w:r>
          </w:p>
          <w:p w:rsidR="00000000" w:rsidDel="00000000" w:rsidP="00000000" w:rsidRDefault="00000000" w:rsidRPr="00000000" w14:paraId="000000A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74"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proiecteze activități didactice care promovează diversitatea, egalitatea de șanse și gen, respectiv incluziunea studenților cu cerințe educaționale speciale</w:t>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implementeze strategii interactive și colaborative pentru a facilita învățarea de profunzime</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creeze materiale didactice relevante și atractive care să stimuleze învățarea de profunzime a studenților</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ofere feedback constructiv studenților/colegilor în vederea stimulării performanțelor academice</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colaboreze eficient cu alte cadre didactice, cât și cercetători pentru a îmbunătăți practica educațională</w:t>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utilizeze rezultatele cercetărilor educaționale relevante în predarea disciplinei referențial</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utilizeze metode de cercetare pentru a-și evalua și îmbunătăți propria eficiență a predării și învățării</w:t>
            </w:r>
            <w:r w:rsidDel="00000000" w:rsidR="00000000" w:rsidRPr="00000000">
              <w:rPr>
                <w:rtl w:val="0"/>
              </w:rPr>
            </w:r>
          </w:p>
        </w:tc>
      </w:tr>
      <w:tr>
        <w:trPr>
          <w:cantSplit w:val="0"/>
          <w:trHeight w:val="2524" w:hRule="atLeast"/>
          <w:tblHeader w:val="0"/>
        </w:trPr>
        <w:tc>
          <w:tcPr>
            <w:vAlign w:val="cente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line="276" w:lineRule="auto"/>
              <w:ind w:left="150" w:right="178" w:firstLine="0"/>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Responsabilitate și autonomie</w:t>
            </w:r>
          </w:p>
        </w:tc>
        <w:tc>
          <w:tcPr>
            <w:vAlign w:val="center"/>
          </w:tcPr>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74"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promoveze diversitatea, incluziunea și egalitatea de gen în învățământul superior</w:t>
            </w:r>
          </w:p>
          <w:p w:rsidR="00000000" w:rsidDel="00000000" w:rsidP="00000000" w:rsidRDefault="00000000" w:rsidRPr="00000000" w14:paraId="000000A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172"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manifeste o atitudine deschisă și respectuoasă față de diversitatea culturală și individuală în mediul universitar</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172"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analizeze critic design-uri educaționale universitare din perspectiva cadrelor teoretice furnizate de modele de dezvoltare curriculară și/sau de design de instruire, inclusiv a modelului reflectiv – colaborativ</w:t>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dovedească perseverență și angajament în fața provocărilor academice și didactice</w:t>
            </w:r>
          </w:p>
          <w:p w:rsidR="00000000" w:rsidDel="00000000" w:rsidP="00000000" w:rsidRDefault="00000000" w:rsidRPr="00000000" w14:paraId="000000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contribuie la îmbunătățirea calității educației universitare, prin promovarea evaluării activității cadrelor didactice de către studenți</w:t>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să promoveze diversitatea, incluziunea și egalitatea de gen în învățământul superior.</w:t>
            </w:r>
          </w:p>
        </w:tc>
      </w:tr>
    </w:tbl>
    <w:p w:rsidR="00000000" w:rsidDel="00000000" w:rsidP="00000000" w:rsidRDefault="00000000" w:rsidRPr="00000000" w14:paraId="000000B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Conținuturi</w:t>
      </w:r>
    </w:p>
    <w:tbl>
      <w:tblPr>
        <w:tblStyle w:val="Table7"/>
        <w:tblW w:w="95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5"/>
        <w:gridCol w:w="1980"/>
        <w:gridCol w:w="4541"/>
        <w:tblGridChange w:id="0">
          <w:tblGrid>
            <w:gridCol w:w="3055"/>
            <w:gridCol w:w="1980"/>
            <w:gridCol w:w="4541"/>
          </w:tblGrid>
        </w:tblGridChange>
      </w:tblGrid>
      <w:tr>
        <w:trPr>
          <w:cantSplit w:val="0"/>
          <w:tblHeader w:val="0"/>
        </w:trPr>
        <w:tc>
          <w:tcPr>
            <w:tcBorders>
              <w:top w:color="000000" w:space="0" w:sz="12" w:val="single"/>
            </w:tcBorders>
            <w:shd w:fill="auto" w:val="clear"/>
          </w:tcPr>
          <w:p w:rsidR="00000000" w:rsidDel="00000000" w:rsidP="00000000" w:rsidRDefault="00000000" w:rsidRPr="00000000" w14:paraId="000000B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7.1. Laborator</w:t>
            </w:r>
            <w:r w:rsidDel="00000000" w:rsidR="00000000" w:rsidRPr="00000000">
              <w:rPr>
                <w:rtl w:val="0"/>
              </w:rPr>
            </w:r>
          </w:p>
        </w:tc>
        <w:tc>
          <w:tcPr>
            <w:tcBorders>
              <w:top w:color="000000" w:space="0" w:sz="12" w:val="single"/>
              <w:right w:color="000000" w:space="0" w:sz="8" w:val="single"/>
            </w:tcBorders>
          </w:tcPr>
          <w:p w:rsidR="00000000" w:rsidDel="00000000" w:rsidP="00000000" w:rsidRDefault="00000000" w:rsidRPr="00000000" w14:paraId="000000B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Metode de predare</w:t>
            </w:r>
            <w:r w:rsidDel="00000000" w:rsidR="00000000" w:rsidRPr="00000000">
              <w:rPr>
                <w:rtl w:val="0"/>
              </w:rPr>
            </w:r>
          </w:p>
        </w:tc>
        <w:tc>
          <w:tcPr>
            <w:tcBorders>
              <w:top w:color="000000" w:space="0" w:sz="12" w:val="single"/>
              <w:left w:color="000000" w:space="0" w:sz="8" w:val="single"/>
            </w:tcBorders>
          </w:tcPr>
          <w:p w:rsidR="00000000" w:rsidDel="00000000" w:rsidP="00000000" w:rsidRDefault="00000000" w:rsidRPr="00000000" w14:paraId="000000B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Observații</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7">
            <w:pP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Jurnalul reflexiv / E-jurnalul reflexiv</w:t>
            </w:r>
          </w:p>
        </w:tc>
        <w:tc>
          <w:tcPr>
            <w:tcBorders>
              <w:right w:color="000000" w:space="0" w:sz="8" w:val="single"/>
            </w:tcBorders>
            <w:vAlign w:val="center"/>
          </w:tcPr>
          <w:p w:rsidR="00000000" w:rsidDel="00000000" w:rsidP="00000000" w:rsidRDefault="00000000" w:rsidRPr="00000000" w14:paraId="000000B8">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reflecția, brainstorming</w:t>
            </w:r>
          </w:p>
        </w:tc>
        <w:tc>
          <w:tcPr>
            <w:tcBorders>
              <w:left w:color="000000" w:space="0" w:sz="8" w:val="single"/>
            </w:tcBorders>
            <w:vAlign w:val="center"/>
          </w:tcPr>
          <w:p w:rsidR="00000000" w:rsidDel="00000000" w:rsidP="00000000" w:rsidRDefault="00000000" w:rsidRPr="00000000" w14:paraId="000000B9">
            <w:pPr>
              <w:spacing w:after="0" w:lineRule="auto"/>
              <w:ind w:left="141.7322834645671" w:right="151.299212598424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începutul disciplinei, cursanții vor fi antrenați într-un exercițiu reflecție și autoevaluare asupra concepțiilor lor despre predare și asupra practicilor lor curente de abordare a predării în mediul universitar. Ulterior, pe parcursul implementării disciplinei, aceștia vor avea de completat un jurnal reflexiv în care să își noteze observațiile, gândurile și aspectele învățate din activitățile de predare și observare.</w:t>
            </w:r>
          </w:p>
        </w:tc>
      </w:tr>
      <w:tr>
        <w:trPr>
          <w:cantSplit w:val="0"/>
          <w:tblHeader w:val="0"/>
        </w:trPr>
        <w:tc>
          <w:tcPr>
            <w:shd w:fill="auto" w:val="clear"/>
            <w:vAlign w:val="center"/>
          </w:tcPr>
          <w:p w:rsidR="00000000" w:rsidDel="00000000" w:rsidP="00000000" w:rsidRDefault="00000000" w:rsidRPr="00000000" w14:paraId="000000BA">
            <w:pP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Observarea reciprocă a lecțiilor / Interasistențe și reflecții colective post implementare/observare</w:t>
            </w:r>
          </w:p>
        </w:tc>
        <w:tc>
          <w:tcPr>
            <w:tcBorders>
              <w:right w:color="000000" w:space="0" w:sz="8" w:val="single"/>
            </w:tcBorders>
            <w:vAlign w:val="center"/>
          </w:tcPr>
          <w:p w:rsidR="00000000" w:rsidDel="00000000" w:rsidP="00000000" w:rsidRDefault="00000000" w:rsidRPr="00000000" w14:paraId="000000BB">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lucrul pe echipe, reflecția, discuția euristică, feedbackul</w:t>
            </w:r>
          </w:p>
        </w:tc>
        <w:tc>
          <w:tcPr>
            <w:tcBorders>
              <w:left w:color="000000" w:space="0" w:sz="8" w:val="single"/>
            </w:tcBorders>
            <w:vAlign w:val="center"/>
          </w:tcPr>
          <w:p w:rsidR="00000000" w:rsidDel="00000000" w:rsidP="00000000" w:rsidRDefault="00000000" w:rsidRPr="00000000" w14:paraId="000000BC">
            <w:pPr>
              <w:spacing w:after="0" w:lineRule="auto"/>
              <w:ind w:left="141.7322834645671" w:right="151.299212598424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Scopul acestor activități constă în documentarea asupra experiențelor de practică didactică la care iau parte. De asemenea, aceștia vor nota în timp real punctele forte și ariile care necesită îmbunătățire. După fiecare sesiune se organizează o sesiune de reflecție colectivă în care se oferă feedback constructiv celui/celor asistat/asistați (dacă este cazul).</w:t>
            </w:r>
          </w:p>
        </w:tc>
      </w:tr>
      <w:tr>
        <w:trPr>
          <w:cantSplit w:val="0"/>
          <w:tblHeader w:val="0"/>
        </w:trPr>
        <w:tc>
          <w:tcPr>
            <w:shd w:fill="auto" w:val="clear"/>
            <w:vAlign w:val="center"/>
          </w:tcPr>
          <w:p w:rsidR="00000000" w:rsidDel="00000000" w:rsidP="00000000" w:rsidRDefault="00000000" w:rsidRPr="00000000" w14:paraId="000000BD">
            <w:pP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Discuții de grup pe marginea jurnalelor reflexive</w:t>
            </w:r>
          </w:p>
        </w:tc>
        <w:tc>
          <w:tcPr>
            <w:tcBorders>
              <w:right w:color="000000" w:space="0" w:sz="8" w:val="single"/>
            </w:tcBorders>
            <w:vAlign w:val="center"/>
          </w:tcPr>
          <w:p w:rsidR="00000000" w:rsidDel="00000000" w:rsidP="00000000" w:rsidRDefault="00000000" w:rsidRPr="00000000" w14:paraId="000000BE">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lucrul pe echipe, reflecția, discuția, dezbaterea</w:t>
            </w:r>
          </w:p>
        </w:tc>
        <w:tc>
          <w:tcPr>
            <w:tcBorders>
              <w:left w:color="000000" w:space="0" w:sz="8" w:val="single"/>
            </w:tcBorders>
            <w:vAlign w:val="center"/>
          </w:tcPr>
          <w:p w:rsidR="00000000" w:rsidDel="00000000" w:rsidP="00000000" w:rsidRDefault="00000000" w:rsidRPr="00000000" w14:paraId="000000BF">
            <w:pPr>
              <w:spacing w:after="0" w:lineRule="auto"/>
              <w:ind w:left="141.7322834645671" w:right="151.299212598424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Scopul acestor activități este acela de a facilita împărtășirea experiențelor și să susțină dezvoltarea unei comunități de practică. În acest sens, de-a lungul disciplinei vor fi organizate întâlniri recurente în care cursanții discută aspecte din jurnalele lor reflexive.</w:t>
            </w:r>
          </w:p>
          <w:p w:rsidR="00000000" w:rsidDel="00000000" w:rsidP="00000000" w:rsidRDefault="00000000" w:rsidRPr="00000000" w14:paraId="000000C0">
            <w:pPr>
              <w:spacing w:after="0" w:lineRule="auto"/>
              <w:ind w:left="141.7322834645671" w:right="151.299212598424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caz, aceste întâlniri pot avea o temă specifică (de ex.: gestionarea interacțiunilor cu studenții, adaptarea metodelor de predare, stimularea învățării, managementul timpului, etc.).</w:t>
            </w:r>
          </w:p>
        </w:tc>
      </w:tr>
      <w:tr>
        <w:trPr>
          <w:cantSplit w:val="0"/>
          <w:tblHeader w:val="0"/>
        </w:trPr>
        <w:tc>
          <w:tcPr>
            <w:shd w:fill="auto" w:val="clear"/>
            <w:vAlign w:val="center"/>
          </w:tcPr>
          <w:p w:rsidR="00000000" w:rsidDel="00000000" w:rsidP="00000000" w:rsidRDefault="00000000" w:rsidRPr="00000000" w14:paraId="000000C1">
            <w:pPr>
              <w:spacing w:after="0" w:lineRule="auto"/>
              <w:ind w:left="18" w:hanging="18"/>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Reflecția critică asupra propriei activități didactice pentru reasigurarea asupra propriilor practici didactice și/sau transformarea acestora</w:t>
            </w:r>
            <w:r w:rsidDel="00000000" w:rsidR="00000000" w:rsidRPr="00000000">
              <w:rPr>
                <w:rFonts w:ascii="Times New Roman" w:cs="Times New Roman" w:eastAsia="Times New Roman" w:hAnsi="Times New Roman"/>
                <w:rtl w:val="0"/>
              </w:rPr>
              <w:t xml:space="preserve"> </w:t>
            </w:r>
          </w:p>
        </w:tc>
        <w:tc>
          <w:tcPr>
            <w:tcBorders>
              <w:right w:color="000000" w:space="0" w:sz="8" w:val="single"/>
            </w:tcBorders>
            <w:vAlign w:val="center"/>
          </w:tcPr>
          <w:p w:rsidR="00000000" w:rsidDel="00000000" w:rsidP="00000000" w:rsidRDefault="00000000" w:rsidRPr="00000000" w14:paraId="000000C2">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exercițiul, feedbackul, lucrul pe echipe</w:t>
            </w:r>
          </w:p>
        </w:tc>
        <w:tc>
          <w:tcPr>
            <w:tcBorders>
              <w:left w:color="000000" w:space="0" w:sz="8" w:val="single"/>
            </w:tcBorders>
            <w:vAlign w:val="center"/>
          </w:tcPr>
          <w:p w:rsidR="00000000" w:rsidDel="00000000" w:rsidP="00000000" w:rsidRDefault="00000000" w:rsidRPr="00000000" w14:paraId="000000C3">
            <w:pPr>
              <w:spacing w:after="0" w:lineRule="auto"/>
              <w:ind w:left="141.7322834645671" w:right="151.2992125984249"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Cursanții vor fi antrenați să reanalizeze critic propriu comportament didactic pe baza discuțiilor și a feedbackului primit în comunitatea de învățare (tutore si colegi de curs)</w:t>
            </w:r>
            <w:r w:rsidDel="00000000" w:rsidR="00000000" w:rsidRPr="00000000">
              <w:rPr>
                <w:rtl w:val="0"/>
              </w:rPr>
            </w:r>
          </w:p>
        </w:tc>
      </w:tr>
      <w:tr>
        <w:trPr>
          <w:cantSplit w:val="0"/>
          <w:trHeight w:val="1582" w:hRule="atLeast"/>
          <w:tblHeader w:val="0"/>
        </w:trPr>
        <w:tc>
          <w:tcPr>
            <w:shd w:fill="auto" w:val="clear"/>
            <w:vAlign w:val="center"/>
          </w:tcPr>
          <w:p w:rsidR="00000000" w:rsidDel="00000000" w:rsidP="00000000" w:rsidRDefault="00000000" w:rsidRPr="00000000" w14:paraId="000000C4">
            <w:pP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Proiectarea și implementarea individuală și/sau colaborativă (în echipe) a unui anumit număr de activități didactice (în funcție de resursele și contextul desfășurării practicii didactice)</w:t>
            </w:r>
          </w:p>
        </w:tc>
        <w:tc>
          <w:tcPr>
            <w:tcBorders>
              <w:right w:color="000000" w:space="0" w:sz="8" w:val="single"/>
            </w:tcBorders>
            <w:vAlign w:val="center"/>
          </w:tcPr>
          <w:p w:rsidR="00000000" w:rsidDel="00000000" w:rsidP="00000000" w:rsidRDefault="00000000" w:rsidRPr="00000000" w14:paraId="000000C5">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exercițiul, observația, reflecția</w:t>
            </w:r>
          </w:p>
        </w:tc>
        <w:tc>
          <w:tcPr>
            <w:tcBorders>
              <w:left w:color="000000" w:space="0" w:sz="8" w:val="single"/>
            </w:tcBorders>
            <w:vAlign w:val="center"/>
          </w:tcPr>
          <w:p w:rsidR="00000000" w:rsidDel="00000000" w:rsidP="00000000" w:rsidRDefault="00000000" w:rsidRPr="00000000" w14:paraId="000000C6">
            <w:pPr>
              <w:spacing w:after="0" w:line="276" w:lineRule="auto"/>
              <w:ind w:left="141.7322834645671" w:right="151.2992125984249"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Cursanții vor fi antrenați să proiecteze și să implementeze activități didactice centrate pe student, fundamentate pe modelul RCL de instruire al UVT și să monitorizeze propriul impact asupra progresului în învățare al studenților.</w:t>
            </w:r>
          </w:p>
        </w:tc>
      </w:tr>
      <w:tr>
        <w:trPr>
          <w:cantSplit w:val="0"/>
          <w:tblHeader w:val="0"/>
        </w:trPr>
        <w:tc>
          <w:tcPr>
            <w:shd w:fill="auto" w:val="clear"/>
            <w:vAlign w:val="center"/>
          </w:tcPr>
          <w:p w:rsidR="00000000" w:rsidDel="00000000" w:rsidP="00000000" w:rsidRDefault="00000000" w:rsidRPr="00000000" w14:paraId="000000C7">
            <w:pP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Portofoliul: instrument de autoevaluare și resursă de dezvoltare profesională continuă</w:t>
            </w:r>
          </w:p>
        </w:tc>
        <w:tc>
          <w:tcPr>
            <w:tcBorders>
              <w:right w:color="000000" w:space="0" w:sz="8" w:val="single"/>
            </w:tcBorders>
            <w:vAlign w:val="center"/>
          </w:tcPr>
          <w:p w:rsidR="00000000" w:rsidDel="00000000" w:rsidP="00000000" w:rsidRDefault="00000000" w:rsidRPr="00000000" w14:paraId="000000C8">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portofoliul</w:t>
            </w:r>
          </w:p>
        </w:tc>
        <w:tc>
          <w:tcPr>
            <w:tcBorders>
              <w:left w:color="000000" w:space="0" w:sz="8" w:val="single"/>
            </w:tcBorders>
            <w:vAlign w:val="center"/>
          </w:tcPr>
          <w:p w:rsidR="00000000" w:rsidDel="00000000" w:rsidP="00000000" w:rsidRDefault="00000000" w:rsidRPr="00000000" w14:paraId="000000C9">
            <w:pPr>
              <w:spacing w:after="0" w:line="276" w:lineRule="auto"/>
              <w:ind w:left="141.7322834645671" w:right="151.2992125984249"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Individual, cursanții vor dezvolta un portofoliu didactic în care să includă proiectele de activitate didactică, reflecțiile personale și feedbackul primit.</w:t>
            </w:r>
          </w:p>
        </w:tc>
      </w:tr>
      <w:tr>
        <w:trPr>
          <w:cantSplit w:val="0"/>
          <w:tblHeader w:val="0"/>
        </w:trPr>
        <w:tc>
          <w:tcPr>
            <w:gridSpan w:val="3"/>
            <w:tcBorders>
              <w:bottom w:color="000000" w:space="0" w:sz="12" w:val="single"/>
            </w:tcBorders>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Bibliografie</w:t>
            </w:r>
          </w:p>
          <w:p w:rsidR="00000000" w:rsidDel="00000000" w:rsidP="00000000" w:rsidRDefault="00000000" w:rsidRPr="00000000" w14:paraId="000000CB">
            <w:pPr>
              <w:widowControl w:val="0"/>
              <w:numPr>
                <w:ilvl w:val="0"/>
                <w:numId w:val="3"/>
              </w:numPr>
              <w:pBdr>
                <w:top w:space="0" w:sz="0" w:val="nil"/>
                <w:left w:space="0" w:sz="0" w:val="nil"/>
                <w:bottom w:space="0" w:sz="0" w:val="nil"/>
                <w:right w:space="0" w:sz="0" w:val="nil"/>
                <w:between w:space="0" w:sz="0" w:val="nil"/>
              </w:pBdr>
              <w:spacing w:after="0" w:line="276" w:lineRule="auto"/>
              <w:ind w:left="7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obligatorie</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Brown, M., &amp; Peck, C. (2018). Expanding the landscape: developing knowledgeability through communities of practice. </w:t>
            </w:r>
            <w:r w:rsidDel="00000000" w:rsidR="00000000" w:rsidRPr="00000000">
              <w:rPr>
                <w:rFonts w:ascii="Times New Roman" w:cs="Times New Roman" w:eastAsia="Times New Roman" w:hAnsi="Times New Roman"/>
                <w:i w:val="1"/>
                <w:color w:val="000000"/>
                <w:rtl w:val="0"/>
              </w:rPr>
              <w:t xml:space="preserve">International Journal for Academic Development</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23</w:t>
            </w:r>
            <w:r w:rsidDel="00000000" w:rsidR="00000000" w:rsidRPr="00000000">
              <w:rPr>
                <w:rFonts w:ascii="Times New Roman" w:cs="Times New Roman" w:eastAsia="Times New Roman" w:hAnsi="Times New Roman"/>
                <w:color w:val="000000"/>
                <w:rtl w:val="0"/>
              </w:rPr>
              <w:t xml:space="preserve">(3), 232-243. </w:t>
            </w:r>
            <w:hyperlink r:id="rId8">
              <w:r w:rsidDel="00000000" w:rsidR="00000000" w:rsidRPr="00000000">
                <w:rPr>
                  <w:rFonts w:ascii="Times New Roman" w:cs="Times New Roman" w:eastAsia="Times New Roman" w:hAnsi="Times New Roman"/>
                  <w:color w:val="0563c1"/>
                  <w:u w:val="single"/>
                  <w:rtl w:val="0"/>
                </w:rPr>
                <w:t xml:space="preserve">https://doi.org/10.1080/1360144X.2018.1473252</w:t>
              </w:r>
            </w:hyperlink>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Esterhazy, R., de Lange, T., Bastiansen, S., &amp; Wittek, A. L. (2021). Moving beyond peer review of teaching: A conceptual framework for collegial faculty development. </w:t>
            </w:r>
            <w:r w:rsidDel="00000000" w:rsidR="00000000" w:rsidRPr="00000000">
              <w:rPr>
                <w:rFonts w:ascii="Times New Roman" w:cs="Times New Roman" w:eastAsia="Times New Roman" w:hAnsi="Times New Roman"/>
                <w:i w:val="1"/>
                <w:color w:val="000000"/>
                <w:rtl w:val="0"/>
              </w:rPr>
              <w:t xml:space="preserve">Review of Educational Research</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91</w:t>
            </w:r>
            <w:r w:rsidDel="00000000" w:rsidR="00000000" w:rsidRPr="00000000">
              <w:rPr>
                <w:rFonts w:ascii="Times New Roman" w:cs="Times New Roman" w:eastAsia="Times New Roman" w:hAnsi="Times New Roman"/>
                <w:color w:val="000000"/>
                <w:rtl w:val="0"/>
              </w:rPr>
              <w:t xml:space="preserve">(2), 237-271. </w:t>
            </w:r>
            <w:hyperlink r:id="rId9">
              <w:r w:rsidDel="00000000" w:rsidR="00000000" w:rsidRPr="00000000">
                <w:rPr>
                  <w:rFonts w:ascii="Times New Roman" w:cs="Times New Roman" w:eastAsia="Times New Roman" w:hAnsi="Times New Roman"/>
                  <w:color w:val="0563c1"/>
                  <w:u w:val="single"/>
                  <w:rtl w:val="0"/>
                </w:rPr>
                <w:t xml:space="preserve">https://doi.org/10.3102/0034654321990721</w:t>
              </w:r>
            </w:hyperlink>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Korthagen, F., &amp; Vasalos, A. (2005). Levels in reflection: Core reflection as a means to enhance professional growth. </w:t>
            </w:r>
            <w:r w:rsidDel="00000000" w:rsidR="00000000" w:rsidRPr="00000000">
              <w:rPr>
                <w:rFonts w:ascii="Times New Roman" w:cs="Times New Roman" w:eastAsia="Times New Roman" w:hAnsi="Times New Roman"/>
                <w:i w:val="1"/>
                <w:color w:val="000000"/>
                <w:rtl w:val="0"/>
              </w:rPr>
              <w:t xml:space="preserve">Teachers and Teaching</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11</w:t>
            </w:r>
            <w:r w:rsidDel="00000000" w:rsidR="00000000" w:rsidRPr="00000000">
              <w:rPr>
                <w:rFonts w:ascii="Times New Roman" w:cs="Times New Roman" w:eastAsia="Times New Roman" w:hAnsi="Times New Roman"/>
                <w:color w:val="000000"/>
                <w:rtl w:val="0"/>
              </w:rPr>
              <w:t xml:space="preserve">(1), 47-71. </w:t>
            </w:r>
            <w:hyperlink r:id="rId10">
              <w:r w:rsidDel="00000000" w:rsidR="00000000" w:rsidRPr="00000000">
                <w:rPr>
                  <w:rFonts w:ascii="Times New Roman" w:cs="Times New Roman" w:eastAsia="Times New Roman" w:hAnsi="Times New Roman"/>
                  <w:color w:val="0563c1"/>
                  <w:u w:val="single"/>
                  <w:rtl w:val="0"/>
                </w:rPr>
                <w:t xml:space="preserve">https://doi.org/10.1080/1354060042000337093</w:t>
              </w:r>
            </w:hyperlink>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Remesh, A. (2013). Microteaching, an efficient technique for learning effective teaching. </w:t>
            </w:r>
            <w:r w:rsidDel="00000000" w:rsidR="00000000" w:rsidRPr="00000000">
              <w:rPr>
                <w:rFonts w:ascii="Times New Roman" w:cs="Times New Roman" w:eastAsia="Times New Roman" w:hAnsi="Times New Roman"/>
                <w:i w:val="1"/>
                <w:color w:val="000000"/>
                <w:rtl w:val="0"/>
              </w:rPr>
              <w:t xml:space="preserve">Journal of research in medical sciences: the official journal of Isfahan University of Medical Sciences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18</w:t>
            </w:r>
            <w:r w:rsidDel="00000000" w:rsidR="00000000" w:rsidRPr="00000000">
              <w:rPr>
                <w:rFonts w:ascii="Times New Roman" w:cs="Times New Roman" w:eastAsia="Times New Roman" w:hAnsi="Times New Roman"/>
                <w:color w:val="000000"/>
                <w:rtl w:val="0"/>
              </w:rPr>
              <w:t xml:space="preserve">(2), 158.</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Fink, L. D. (2013). Creating significant learning experiences: an integrated approach to designing college courses (Revised and updated edition). San Francisco: Jossey-Bass. Pentru sinteză Fink, 2013: </w:t>
            </w:r>
            <w:hyperlink r:id="rId11">
              <w:r w:rsidDel="00000000" w:rsidR="00000000" w:rsidRPr="00000000">
                <w:rPr>
                  <w:rFonts w:ascii="Times New Roman" w:cs="Times New Roman" w:eastAsia="Times New Roman" w:hAnsi="Times New Roman"/>
                  <w:color w:val="0563c1"/>
                  <w:u w:val="single"/>
                  <w:rtl w:val="0"/>
                </w:rPr>
                <w:t xml:space="preserve">click aici</w:t>
              </w:r>
            </w:hyperlink>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Myllykoski-Laine, S., Parpala, A., Hailikari, T., &amp; Postareff, L. (2024). Using self-reflection to support higher education teaching. </w:t>
            </w:r>
            <w:r w:rsidDel="00000000" w:rsidR="00000000" w:rsidRPr="00000000">
              <w:rPr>
                <w:rFonts w:ascii="Times New Roman" w:cs="Times New Roman" w:eastAsia="Times New Roman" w:hAnsi="Times New Roman"/>
                <w:i w:val="1"/>
                <w:color w:val="000000"/>
                <w:rtl w:val="0"/>
              </w:rPr>
              <w:t xml:space="preserve">Reflective Practice</w:t>
            </w:r>
            <w:r w:rsidDel="00000000" w:rsidR="00000000" w:rsidRPr="00000000">
              <w:rPr>
                <w:rFonts w:ascii="Times New Roman" w:cs="Times New Roman" w:eastAsia="Times New Roman" w:hAnsi="Times New Roman"/>
                <w:color w:val="000000"/>
                <w:rtl w:val="0"/>
              </w:rPr>
              <w:t xml:space="preserve">, 1-16. </w:t>
            </w:r>
            <w:hyperlink r:id="rId12">
              <w:r w:rsidDel="00000000" w:rsidR="00000000" w:rsidRPr="00000000">
                <w:rPr>
                  <w:rFonts w:ascii="Times New Roman" w:cs="Times New Roman" w:eastAsia="Times New Roman" w:hAnsi="Times New Roman"/>
                  <w:color w:val="0563c1"/>
                  <w:u w:val="single"/>
                  <w:rtl w:val="0"/>
                </w:rPr>
                <w:t xml:space="preserve">https://doi.org/10.1080/14623943.2024.2376784</w:t>
              </w:r>
            </w:hyperlink>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2">
            <w:pPr>
              <w:numPr>
                <w:ilvl w:val="0"/>
                <w:numId w:val="3"/>
              </w:numPr>
              <w:pBdr>
                <w:top w:space="0" w:sz="0" w:val="nil"/>
                <w:left w:space="0" w:sz="0" w:val="nil"/>
                <w:bottom w:space="0" w:sz="0" w:val="nil"/>
                <w:right w:space="0" w:sz="0" w:val="nil"/>
                <w:between w:space="0" w:sz="0" w:val="nil"/>
              </w:pBdr>
              <w:spacing w:after="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sz w:val="24"/>
                <w:szCs w:val="24"/>
                <w:rtl w:val="0"/>
              </w:rPr>
              <w:t xml:space="preserve">suplimentară</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CDA. (octombrie, 2016). </w:t>
            </w:r>
            <w:r w:rsidDel="00000000" w:rsidR="00000000" w:rsidRPr="00000000">
              <w:rPr>
                <w:rFonts w:ascii="Times New Roman" w:cs="Times New Roman" w:eastAsia="Times New Roman" w:hAnsi="Times New Roman"/>
                <w:i w:val="1"/>
                <w:color w:val="000000"/>
                <w:rtl w:val="0"/>
              </w:rPr>
              <w:t xml:space="preserve">Ghid metodologic pentru elaborarea și utilizarea fișei disciplinei. </w:t>
            </w:r>
            <w:r w:rsidDel="00000000" w:rsidR="00000000" w:rsidRPr="00000000">
              <w:rPr>
                <w:rFonts w:ascii="Times New Roman" w:cs="Times New Roman" w:eastAsia="Times New Roman" w:hAnsi="Times New Roman"/>
                <w:color w:val="000000"/>
                <w:rtl w:val="0"/>
              </w:rPr>
              <w:t xml:space="preserve">Timişoara: Universitatea de Vest, Centrul de Dezvoltare Academică. </w:t>
            </w:r>
            <w:hyperlink r:id="rId13">
              <w:r w:rsidDel="00000000" w:rsidR="00000000" w:rsidRPr="00000000">
                <w:rPr>
                  <w:rFonts w:ascii="Times New Roman" w:cs="Times New Roman" w:eastAsia="Times New Roman" w:hAnsi="Times New Roman"/>
                  <w:color w:val="0563c1"/>
                  <w:u w:val="single"/>
                  <w:rtl w:val="0"/>
                </w:rPr>
                <w:t xml:space="preserve">https://cda.uvt.ro/wp-content/uploads/2023/01/Ghid-metodologic-pentru-elaborarea-si-utilizarea-fisei-disciplinei.pdf</w:t>
              </w:r>
            </w:hyperlink>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Ehlers, U.D. &amp; Kellermann, S.A. (2019). </w:t>
            </w:r>
            <w:r w:rsidDel="00000000" w:rsidR="00000000" w:rsidRPr="00000000">
              <w:rPr>
                <w:rFonts w:ascii="Times New Roman" w:cs="Times New Roman" w:eastAsia="Times New Roman" w:hAnsi="Times New Roman"/>
                <w:i w:val="1"/>
                <w:color w:val="000000"/>
                <w:rtl w:val="0"/>
              </w:rPr>
              <w:t xml:space="preserve">Future Skills: The future of learning and higher education</w:t>
            </w:r>
            <w:r w:rsidDel="00000000" w:rsidR="00000000" w:rsidRPr="00000000">
              <w:rPr>
                <w:rFonts w:ascii="Times New Roman" w:cs="Times New Roman" w:eastAsia="Times New Roman" w:hAnsi="Times New Roman"/>
                <w:color w:val="000000"/>
                <w:rtl w:val="0"/>
              </w:rPr>
              <w:t xml:space="preserve">. Karlsruhe. Retrieved September 10, 2024. From </w:t>
            </w:r>
            <w:hyperlink r:id="rId14">
              <w:r w:rsidDel="00000000" w:rsidR="00000000" w:rsidRPr="00000000">
                <w:rPr>
                  <w:rFonts w:ascii="Times New Roman" w:cs="Times New Roman" w:eastAsia="Times New Roman" w:hAnsi="Times New Roman"/>
                  <w:color w:val="0563c1"/>
                  <w:u w:val="single"/>
                  <w:rtl w:val="0"/>
                </w:rPr>
                <w:t xml:space="preserve">https://www.learntechlib.org/p/208249/</w:t>
              </w:r>
            </w:hyperlink>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rtl w:val="0"/>
              </w:rPr>
              <w:t xml:space="preserve">Ammattikasvatuksen Aikakauskirja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23</w:t>
            </w:r>
            <w:r w:rsidDel="00000000" w:rsidR="00000000" w:rsidRPr="00000000">
              <w:rPr>
                <w:rFonts w:ascii="Times New Roman" w:cs="Times New Roman" w:eastAsia="Times New Roman" w:hAnsi="Times New Roman"/>
                <w:rtl w:val="0"/>
              </w:rPr>
              <w:t xml:space="preserve">(4), 61-67. </w:t>
            </w:r>
            <w:hyperlink r:id="rId15">
              <w:r w:rsidDel="00000000" w:rsidR="00000000" w:rsidRPr="00000000">
                <w:rPr>
                  <w:rFonts w:ascii="Times New Roman" w:cs="Times New Roman" w:eastAsia="Times New Roman" w:hAnsi="Times New Roman"/>
                  <w:color w:val="0563c1"/>
                  <w:u w:val="single"/>
                  <w:rtl w:val="0"/>
                </w:rPr>
                <w:t xml:space="preserve">https://doi.org/10.54329/akakk.113327</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RECOMANDAREA CONSILIULUI din 22 mai 2018 privind competențele-cheie pentru învățarea pe tot parcursul vieții. Link: </w:t>
            </w:r>
            <w:hyperlink r:id="rId16">
              <w:r w:rsidDel="00000000" w:rsidR="00000000" w:rsidRPr="00000000">
                <w:rPr>
                  <w:rFonts w:ascii="Times New Roman" w:cs="Times New Roman" w:eastAsia="Times New Roman" w:hAnsi="Times New Roman"/>
                  <w:color w:val="0563c1"/>
                  <w:u w:val="single"/>
                  <w:rtl w:val="0"/>
                </w:rPr>
                <w:t xml:space="preserve">competențe cheie UE</w:t>
              </w:r>
            </w:hyperlink>
            <w:r w:rsidDel="00000000" w:rsidR="00000000" w:rsidRPr="00000000">
              <w:rPr>
                <w:rFonts w:ascii="Times New Roman" w:cs="Times New Roman" w:eastAsia="Times New Roman" w:hAnsi="Times New Roman"/>
                <w:color w:val="0563c1"/>
                <w:u w:val="single"/>
                <w:rtl w:val="0"/>
              </w:rPr>
              <w:t xml:space="preserve"> </w:t>
            </w:r>
            <w:hyperlink r:id="rId17">
              <w:r w:rsidDel="00000000" w:rsidR="00000000" w:rsidRPr="00000000">
                <w:rPr>
                  <w:rFonts w:ascii="Times New Roman" w:cs="Times New Roman" w:eastAsia="Times New Roman" w:hAnsi="Times New Roman"/>
                  <w:color w:val="0563c1"/>
                  <w:u w:val="single"/>
                  <w:rtl w:val="0"/>
                </w:rPr>
                <w:t xml:space="preserve">https://eur-lex.europa.eu/legal-content/RO/TXT/PDF/?uri=CELEX:32018H0604(01)&amp;from=EN</w:t>
              </w:r>
            </w:hyperlink>
            <w:r w:rsidDel="00000000" w:rsidR="00000000" w:rsidRPr="00000000">
              <w:rPr>
                <w:rFonts w:ascii="Times New Roman" w:cs="Times New Roman" w:eastAsia="Times New Roman" w:hAnsi="Times New Roman"/>
                <w:color w:val="000000"/>
                <w:rtl w:val="0"/>
              </w:rPr>
              <w:t xml:space="preserve"> (pag 7-13)</w:t>
            </w:r>
          </w:p>
          <w:p w:rsidR="00000000" w:rsidDel="00000000" w:rsidP="00000000" w:rsidRDefault="00000000" w:rsidRPr="00000000" w14:paraId="000000D7">
            <w:pPr>
              <w:spacing w:line="276"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Thomson, K. E., &amp; Trigwell, K. R. (2018). The role of informal conversations in developing university teaching?. </w:t>
            </w:r>
            <w:r w:rsidDel="00000000" w:rsidR="00000000" w:rsidRPr="00000000">
              <w:rPr>
                <w:rFonts w:ascii="Times New Roman" w:cs="Times New Roman" w:eastAsia="Times New Roman" w:hAnsi="Times New Roman"/>
                <w:i w:val="1"/>
                <w:color w:val="000000"/>
                <w:rtl w:val="0"/>
              </w:rPr>
              <w:t xml:space="preserve">Studies in Higher Education</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43</w:t>
            </w:r>
            <w:r w:rsidDel="00000000" w:rsidR="00000000" w:rsidRPr="00000000">
              <w:rPr>
                <w:rFonts w:ascii="Times New Roman" w:cs="Times New Roman" w:eastAsia="Times New Roman" w:hAnsi="Times New Roman"/>
                <w:color w:val="000000"/>
                <w:rtl w:val="0"/>
              </w:rPr>
              <w:t xml:space="preserve">(9), 1536-1547. </w:t>
            </w:r>
            <w:hyperlink r:id="rId18">
              <w:r w:rsidDel="00000000" w:rsidR="00000000" w:rsidRPr="00000000">
                <w:rPr>
                  <w:rFonts w:ascii="Times New Roman" w:cs="Times New Roman" w:eastAsia="Times New Roman" w:hAnsi="Times New Roman"/>
                  <w:color w:val="0563c1"/>
                  <w:u w:val="single"/>
                  <w:rtl w:val="0"/>
                </w:rPr>
                <w:t xml:space="preserve">https://doi.org/10.1080/03075079.2016.1265498</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76"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Threlfall, S. J. (2014). E-journals: towards critical and independent reflective practice for students in higher education. Reflective Practice, 15(3), 317-332. </w:t>
            </w:r>
            <w:hyperlink r:id="rId19">
              <w:r w:rsidDel="00000000" w:rsidR="00000000" w:rsidRPr="00000000">
                <w:rPr>
                  <w:rFonts w:ascii="Times New Roman" w:cs="Times New Roman" w:eastAsia="Times New Roman" w:hAnsi="Times New Roman"/>
                  <w:color w:val="0563c1"/>
                  <w:u w:val="single"/>
                  <w:rtl w:val="0"/>
                </w:rPr>
                <w:t xml:space="preserve">https://doi.org/10.1080/14623943.2014.900012</w:t>
              </w:r>
            </w:hyperlink>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r>
    </w:tbl>
    <w:p w:rsidR="00000000" w:rsidDel="00000000" w:rsidP="00000000" w:rsidRDefault="00000000" w:rsidRPr="00000000" w14:paraId="000000DB">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C">
      <w:pPr>
        <w:widowControl w:val="0"/>
        <w:numPr>
          <w:ilvl w:val="0"/>
          <w:numId w:val="4"/>
        </w:numPr>
        <w:pBdr>
          <w:top w:space="0" w:sz="0" w:val="nil"/>
          <w:left w:space="0" w:sz="0" w:val="nil"/>
          <w:bottom w:space="0" w:sz="0" w:val="nil"/>
          <w:right w:space="0" w:sz="0" w:val="nil"/>
          <w:between w:space="0" w:sz="0" w:val="nil"/>
        </w:pBdr>
        <w:tabs>
          <w:tab w:val="left" w:leader="none" w:pos="1021"/>
          <w:tab w:val="left" w:leader="none" w:pos="1022"/>
        </w:tabs>
        <w:spacing w:after="0" w:line="276" w:lineRule="auto"/>
        <w:ind w:left="97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Evaluare</w:t>
      </w:r>
    </w:p>
    <w:tbl>
      <w:tblPr>
        <w:tblStyle w:val="Table8"/>
        <w:tblW w:w="9689.0" w:type="dxa"/>
        <w:jc w:val="left"/>
        <w:tblInd w:w="1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0"/>
        <w:gridCol w:w="2164"/>
        <w:gridCol w:w="2355"/>
        <w:gridCol w:w="3060"/>
        <w:tblGridChange w:id="0">
          <w:tblGrid>
            <w:gridCol w:w="2110"/>
            <w:gridCol w:w="2164"/>
            <w:gridCol w:w="2355"/>
            <w:gridCol w:w="3060"/>
          </w:tblGrid>
        </w:tblGridChange>
      </w:tblGrid>
      <w:tr>
        <w:trPr>
          <w:cantSplit w:val="0"/>
          <w:trHeight w:val="254" w:hRule="atLeast"/>
          <w:tblHeader w:val="0"/>
        </w:trPr>
        <w:tc>
          <w:tcPr>
            <w:vAlign w:val="center"/>
          </w:tcPr>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after="0" w:line="276" w:lineRule="auto"/>
              <w:ind w:left="10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Tip activitate</w:t>
            </w:r>
          </w:p>
        </w:tc>
        <w:tc>
          <w:tcPr>
            <w:vAlign w:val="center"/>
          </w:tcPr>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spacing w:after="0" w:line="276" w:lineRule="auto"/>
              <w:ind w:left="11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Criterii de evaluare</w:t>
            </w:r>
          </w:p>
        </w:tc>
        <w:tc>
          <w:tcPr>
            <w:vAlign w:val="cente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spacing w:after="0" w:line="276" w:lineRule="auto"/>
              <w:ind w:left="162"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Metode de evaluare</w:t>
            </w:r>
          </w:p>
        </w:tc>
        <w:tc>
          <w:tcPr>
            <w:vAlign w:val="cente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spacing w:after="0" w:line="276" w:lineRule="auto"/>
              <w:ind w:left="162"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Pondere din nota finală</w:t>
            </w:r>
          </w:p>
        </w:tc>
      </w:tr>
      <w:tr>
        <w:trPr>
          <w:cantSplit w:val="0"/>
          <w:trHeight w:val="251" w:hRule="atLeast"/>
          <w:tblHeader w:val="0"/>
        </w:trPr>
        <w:tc>
          <w:tcPr>
            <w:vMerge w:val="restart"/>
            <w:vAlign w:val="center"/>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pacing w:after="0" w:line="276" w:lineRule="auto"/>
              <w:ind w:left="10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8.1. Curs</w:t>
            </w:r>
          </w:p>
        </w:tc>
        <w:tc>
          <w:tcPr>
            <w:vAlign w:val="center"/>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53" w:hRule="atLeast"/>
          <w:tblHeader w:val="0"/>
        </w:trPr>
        <w:tc>
          <w:tcPr>
            <w:vMerge w:val="continue"/>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51" w:hRule="atLeast"/>
          <w:tblHeader w:val="0"/>
        </w:trPr>
        <w:tc>
          <w:tcPr>
            <w:vMerge w:val="restart"/>
            <w:vAlign w:val="center"/>
          </w:tcPr>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0" w:line="276" w:lineRule="auto"/>
              <w:ind w:left="10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8.2. Seminar</w:t>
            </w:r>
          </w:p>
        </w:tc>
        <w:tc>
          <w:tcPr>
            <w:vAlign w:val="center"/>
          </w:tcPr>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53" w:hRule="atLeast"/>
          <w:tblHeader w:val="0"/>
        </w:trPr>
        <w:tc>
          <w:tcPr>
            <w:vMerge w:val="continue"/>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r>
      <w:tr>
        <w:trPr>
          <w:cantSplit w:val="0"/>
          <w:trHeight w:val="251" w:hRule="atLeast"/>
          <w:tblHeader w:val="0"/>
        </w:trPr>
        <w:tc>
          <w:tcPr>
            <w:vMerge w:val="restart"/>
            <w:vAlign w:val="center"/>
          </w:tcPr>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after="0" w:line="276" w:lineRule="auto"/>
              <w:ind w:left="10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8.3. L/P/AP</w:t>
            </w:r>
          </w:p>
        </w:tc>
        <w:tc>
          <w:tcPr>
            <w:vAlign w:val="center"/>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vAlign w:val="center"/>
          </w:tcPr>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Portofoliu</w:t>
            </w:r>
            <w:r w:rsidDel="00000000" w:rsidR="00000000" w:rsidRPr="00000000">
              <w:rPr>
                <w:rFonts w:ascii="Times New Roman" w:cs="Times New Roman" w:eastAsia="Times New Roman" w:hAnsi="Times New Roman"/>
                <w:color w:val="000000"/>
                <w:sz w:val="24"/>
                <w:szCs w:val="24"/>
                <w:rtl w:val="0"/>
              </w:rPr>
              <w:t xml:space="preserve"> constând în jurnal reflexiv și proiecte de activitate didactică, respectiv fișe de observație</w:t>
            </w:r>
          </w:p>
        </w:tc>
        <w:tc>
          <w:tcPr>
            <w:vAlign w:val="center"/>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80%</w:t>
            </w:r>
          </w:p>
        </w:tc>
      </w:tr>
      <w:tr>
        <w:trPr>
          <w:cantSplit w:val="0"/>
          <w:trHeight w:val="253" w:hRule="atLeast"/>
          <w:tblHeader w:val="0"/>
        </w:trPr>
        <w:tc>
          <w:tcPr>
            <w:vMerge w:val="continue"/>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Participare activă în cadrul activităților de practică pedagogică</w:t>
            </w:r>
          </w:p>
        </w:tc>
        <w:tc>
          <w:tcPr>
            <w:vAlign w:val="center"/>
          </w:tcPr>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Observare sistematică</w:t>
            </w:r>
          </w:p>
        </w:tc>
        <w:tc>
          <w:tcPr>
            <w:vAlign w:val="center"/>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w:t>
            </w:r>
          </w:p>
        </w:tc>
      </w:tr>
      <w:tr>
        <w:trPr>
          <w:cantSplit w:val="0"/>
          <w:trHeight w:val="61" w:hRule="atLeast"/>
          <w:tblHeader w:val="0"/>
        </w:trPr>
        <w:tc>
          <w:tcPr>
            <w:gridSpan w:val="4"/>
            <w:vAlign w:val="center"/>
          </w:tcPr>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pacing w:after="0" w:line="276" w:lineRule="auto"/>
              <w:ind w:left="10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8.4. Standard minim de performanță</w:t>
            </w:r>
          </w:p>
        </w:tc>
      </w:tr>
      <w:tr>
        <w:trPr>
          <w:cantSplit w:val="0"/>
          <w:trHeight w:val="506" w:hRule="atLeast"/>
          <w:tblHeader w:val="0"/>
        </w:trPr>
        <w:tc>
          <w:tcPr>
            <w:gridSpan w:val="4"/>
            <w:vAlign w:val="center"/>
          </w:tcPr>
          <w:p w:rsidR="00000000" w:rsidDel="00000000" w:rsidP="00000000" w:rsidRDefault="00000000" w:rsidRPr="00000000" w14:paraId="000000FD">
            <w:pPr>
              <w:widowControl w:val="0"/>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10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jc w:val="both"/>
        <w:rPr>
          <w:rFonts w:ascii="Times New Roman" w:cs="Times New Roman" w:eastAsia="Times New Roman" w:hAnsi="Times New Roman"/>
          <w:sz w:val="20"/>
          <w:szCs w:val="20"/>
        </w:rPr>
      </w:pPr>
      <w:r w:rsidDel="00000000" w:rsidR="00000000" w:rsidRPr="00000000">
        <w:rPr>
          <w:rtl w:val="0"/>
        </w:rPr>
      </w:r>
    </w:p>
    <w:tbl>
      <w:tblPr>
        <w:tblStyle w:val="Table9"/>
        <w:tblW w:w="92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02"/>
        <w:gridCol w:w="5812"/>
        <w:tblGridChange w:id="0">
          <w:tblGrid>
            <w:gridCol w:w="3402"/>
            <w:gridCol w:w="5812"/>
          </w:tblGrid>
        </w:tblGridChange>
      </w:tblGrid>
      <w:tr>
        <w:trPr>
          <w:cantSplit w:val="0"/>
          <w:trHeight w:val="1760" w:hRule="atLeast"/>
          <w:tblHeader w:val="0"/>
        </w:trPr>
        <w:tc>
          <w:tcPr>
            <w:vAlign w:val="center"/>
          </w:tcPr>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spacing w:after="0" w:line="276" w:lineRule="auto"/>
              <w:ind w:left="181" w:right="1132"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Data completării:</w:t>
            </w:r>
          </w:p>
        </w:tc>
        <w:tc>
          <w:tcPr>
            <w:vAlign w:val="center"/>
          </w:tcPr>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spacing w:after="0" w:line="276" w:lineRule="auto"/>
              <w:ind w:left="1132" w:right="181"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Titular(i) laborator (Semnătura):</w:t>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pacing w:after="0" w:line="276" w:lineRule="auto"/>
              <w:ind w:left="1132" w:right="181"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Lect. univ. dr. Nicolae HURDUZEU</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Asistent de cercetare drd. Velibor MLADENOVICI</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Asistent de cercetare drd. Daniela VOINESCU</w:t>
            </w:r>
          </w:p>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after="0" w:line="276" w:lineRule="auto"/>
              <w:ind w:left="1132" w:right="181" w:firstLine="0"/>
              <w:jc w:val="center"/>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1783" w:hRule="atLeast"/>
          <w:tblHeader w:val="0"/>
        </w:trPr>
        <w:tc>
          <w:tcPr>
            <w:vAlign w:val="center"/>
          </w:tcPr>
          <w:p w:rsidR="00000000" w:rsidDel="00000000" w:rsidP="00000000" w:rsidRDefault="00000000" w:rsidRPr="00000000" w14:paraId="0000010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after="0" w:line="276" w:lineRule="auto"/>
              <w:ind w:left="450" w:right="133"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4"/>
                <w:szCs w:val="24"/>
                <w:rtl w:val="0"/>
              </w:rPr>
              <w:t xml:space="preserve">Data avizării în ședința consiliului DPPD:</w:t>
            </w:r>
            <w:r w:rsidDel="00000000" w:rsidR="00000000" w:rsidRPr="00000000">
              <w:rPr>
                <w:rtl w:val="0"/>
              </w:rPr>
            </w:r>
          </w:p>
        </w:tc>
        <w:tc>
          <w:tcPr>
            <w:vAlign w:val="cente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Responsabil program formare</w:t>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(Semnătura):</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Asistent de cercetare drd. Velibor MLADENOVICI</w:t>
            </w:r>
          </w:p>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after="0" w:line="276" w:lineRule="auto"/>
              <w:ind w:right="181"/>
              <w:jc w:val="center"/>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11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tl w:val="0"/>
        </w:rPr>
      </w:r>
    </w:p>
    <w:sectPr>
      <w:headerReference r:id="rId20" w:type="default"/>
      <w:headerReference r:id="rId21" w:type="first"/>
      <w:footerReference r:id="rId22" w:type="default"/>
      <w:pgSz w:h="15840" w:w="12240" w:orient="portrait"/>
      <w:pgMar w:bottom="1440" w:top="1495"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rFonts w:ascii="Arial Narrow" w:cs="Arial Narrow" w:eastAsia="Arial Narrow" w:hAnsi="Arial Narrow"/>
        <w:b w:val="1"/>
        <w:color w:val="ffc000"/>
      </w:rPr>
    </w:pPr>
    <w:r w:rsidDel="00000000" w:rsidR="00000000" w:rsidRPr="00000000">
      <w:rPr>
        <w:rFonts w:ascii="Arial Narrow" w:cs="Arial Narrow" w:eastAsia="Arial Narrow" w:hAnsi="Arial Narrow"/>
        <w:b w:val="1"/>
        <w:color w:val="548dd4"/>
        <w:rtl w:val="0"/>
      </w:rPr>
      <w:t xml:space="preserve">PAGINA</w:t>
    </w:r>
    <w:r w:rsidDel="00000000" w:rsidR="00000000" w:rsidRPr="00000000">
      <w:rPr>
        <w:rFonts w:ascii="Arial Narrow" w:cs="Arial Narrow" w:eastAsia="Arial Narrow" w:hAnsi="Arial Narrow"/>
        <w:color w:val="548dd4"/>
        <w:rtl w:val="0"/>
      </w:rPr>
      <w:t xml:space="preserve"> |    </w:t>
    </w:r>
    <w:r w:rsidDel="00000000" w:rsidR="00000000" w:rsidRPr="00000000">
      <w:rPr>
        <w:rFonts w:ascii="Arial Narrow" w:cs="Arial Narrow" w:eastAsia="Arial Narrow" w:hAnsi="Arial Narrow"/>
        <w:b w:val="1"/>
        <w:color w:val="ffc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F">
    <w:pPr>
      <w:rPr/>
    </w:pPr>
    <w:r w:rsidDel="00000000" w:rsidR="00000000" w:rsidRPr="00000000">
      <w:rPr>
        <w:rFonts w:ascii="Arial Narrow" w:cs="Arial Narrow" w:eastAsia="Arial Narrow" w:hAnsi="Arial Narrow"/>
        <w:color w:val="548dd4"/>
        <w:rtl w:val="0"/>
      </w:rPr>
      <w:t xml:space="preserve">                                                                                                                                        </w:t>
    </w: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Laborator/Proiect/Aplicații practice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680"/>
        <w:tab w:val="right" w:leader="none" w:pos="9360"/>
        <w:tab w:val="left" w:leader="none" w:pos="3558"/>
      </w:tabs>
      <w:spacing w:after="0" w:line="240" w:lineRule="auto"/>
      <w:rPr>
        <w:color w:val="000000"/>
      </w:rPr>
    </w:pPr>
    <w:r w:rsidDel="00000000" w:rsidR="00000000" w:rsidRPr="00000000">
      <w:rPr>
        <w:color w:val="000000"/>
        <w:rtl w:val="0"/>
      </w:rPr>
      <w:tab/>
    </w:r>
    <w:r w:rsidDel="00000000" w:rsidR="00000000" w:rsidRPr="00000000">
      <w:drawing>
        <wp:anchor allowOverlap="1" behindDoc="1" distB="0" distT="0" distL="0" distR="0" hidden="0" layoutInCell="1" locked="0" relativeHeight="0" simplePos="0">
          <wp:simplePos x="0" y="0"/>
          <wp:positionH relativeFrom="column">
            <wp:posOffset>5571733</wp:posOffset>
          </wp:positionH>
          <wp:positionV relativeFrom="paragraph">
            <wp:posOffset>-429256</wp:posOffset>
          </wp:positionV>
          <wp:extent cx="867410" cy="867410"/>
          <wp:effectExtent b="0" l="0" r="0" t="0"/>
          <wp:wrapNone/>
          <wp:docPr descr="A close up of a sign&#10;&#10;Description automatically generated" id="12" name="image1.png"/>
          <a:graphic>
            <a:graphicData uri="http://schemas.openxmlformats.org/drawingml/2006/picture">
              <pic:pic>
                <pic:nvPicPr>
                  <pic:cNvPr descr="A close up of a sign&#10;&#10;Description automatically generated" id="0" name="image1.png"/>
                  <pic:cNvPicPr preferRelativeResize="0"/>
                </pic:nvPicPr>
                <pic:blipFill>
                  <a:blip r:embed="rId1"/>
                  <a:srcRect b="0" l="0" r="0" t="0"/>
                  <a:stretch>
                    <a:fillRect/>
                  </a:stretch>
                </pic:blipFill>
                <pic:spPr>
                  <a:xfrm>
                    <a:off x="0" y="0"/>
                    <a:ext cx="867410" cy="8674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380072</wp:posOffset>
          </wp:positionH>
          <wp:positionV relativeFrom="paragraph">
            <wp:posOffset>408550</wp:posOffset>
          </wp:positionV>
          <wp:extent cx="6176645" cy="33655"/>
          <wp:effectExtent b="0" l="0" r="0" t="0"/>
          <wp:wrapSquare wrapText="bothSides" distB="0" distT="0" distL="114300" distR="114300"/>
          <wp:docPr id="1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6176645" cy="3365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color w:val="000000"/>
        <w:rtl w:val="0"/>
      </w:rPr>
      <w:tab/>
    </w:r>
    <w:r w:rsidDel="00000000" w:rsidR="00000000" w:rsidRPr="00000000">
      <w:drawing>
        <wp:anchor allowOverlap="1" behindDoc="1" distB="0" distT="0" distL="0" distR="0" hidden="0" layoutInCell="1" locked="0" relativeHeight="0" simplePos="0">
          <wp:simplePos x="0" y="0"/>
          <wp:positionH relativeFrom="column">
            <wp:posOffset>5571490</wp:posOffset>
          </wp:positionH>
          <wp:positionV relativeFrom="paragraph">
            <wp:posOffset>-419147</wp:posOffset>
          </wp:positionV>
          <wp:extent cx="867410" cy="867410"/>
          <wp:effectExtent b="0" l="0" r="0" t="0"/>
          <wp:wrapNone/>
          <wp:docPr descr="A close up of a sign&#10;&#10;Description automatically generated" id="14" name="image1.png"/>
          <a:graphic>
            <a:graphicData uri="http://schemas.openxmlformats.org/drawingml/2006/picture">
              <pic:pic>
                <pic:nvPicPr>
                  <pic:cNvPr descr="A close up of a sign&#10;&#10;Description automatically generated" id="0" name="image1.png"/>
                  <pic:cNvPicPr preferRelativeResize="0"/>
                </pic:nvPicPr>
                <pic:blipFill>
                  <a:blip r:embed="rId1"/>
                  <a:srcRect b="0" l="0" r="0" t="0"/>
                  <a:stretch>
                    <a:fillRect/>
                  </a:stretch>
                </pic:blipFill>
                <pic:spPr>
                  <a:xfrm>
                    <a:off x="0" y="0"/>
                    <a:ext cx="867410" cy="8674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523094</wp:posOffset>
          </wp:positionH>
          <wp:positionV relativeFrom="paragraph">
            <wp:posOffset>416169</wp:posOffset>
          </wp:positionV>
          <wp:extent cx="6176645" cy="33655"/>
          <wp:effectExtent b="0" l="0" r="0" t="0"/>
          <wp:wrapSquare wrapText="bothSides" distB="0" distT="0" distL="114300" distR="114300"/>
          <wp:docPr id="1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6176645" cy="336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966" w:hanging="356.0000000000001"/>
      </w:pPr>
      <w:rPr>
        <w:rFonts w:ascii="Times New Roman" w:cs="Times New Roman" w:eastAsia="Times New Roman" w:hAnsi="Times New Roman"/>
        <w:b w:val="1"/>
        <w:sz w:val="22"/>
        <w:szCs w:val="22"/>
      </w:rPr>
    </w:lvl>
    <w:lvl w:ilvl="1">
      <w:start w:val="0"/>
      <w:numFmt w:val="bullet"/>
      <w:lvlText w:val="•"/>
      <w:lvlJc w:val="left"/>
      <w:pPr>
        <w:ind w:left="1936" w:hanging="356"/>
      </w:pPr>
      <w:rPr/>
    </w:lvl>
    <w:lvl w:ilvl="2">
      <w:start w:val="0"/>
      <w:numFmt w:val="bullet"/>
      <w:lvlText w:val="•"/>
      <w:lvlJc w:val="left"/>
      <w:pPr>
        <w:ind w:left="2912" w:hanging="356"/>
      </w:pPr>
      <w:rPr/>
    </w:lvl>
    <w:lvl w:ilvl="3">
      <w:start w:val="0"/>
      <w:numFmt w:val="bullet"/>
      <w:lvlText w:val="•"/>
      <w:lvlJc w:val="left"/>
      <w:pPr>
        <w:ind w:left="3888" w:hanging="356"/>
      </w:pPr>
      <w:rPr/>
    </w:lvl>
    <w:lvl w:ilvl="4">
      <w:start w:val="0"/>
      <w:numFmt w:val="bullet"/>
      <w:lvlText w:val="•"/>
      <w:lvlJc w:val="left"/>
      <w:pPr>
        <w:ind w:left="4864" w:hanging="356"/>
      </w:pPr>
      <w:rPr/>
    </w:lvl>
    <w:lvl w:ilvl="5">
      <w:start w:val="0"/>
      <w:numFmt w:val="bullet"/>
      <w:lvlText w:val="•"/>
      <w:lvlJc w:val="left"/>
      <w:pPr>
        <w:ind w:left="5840" w:hanging="356"/>
      </w:pPr>
      <w:rPr/>
    </w:lvl>
    <w:lvl w:ilvl="6">
      <w:start w:val="0"/>
      <w:numFmt w:val="bullet"/>
      <w:lvlText w:val="•"/>
      <w:lvlJc w:val="left"/>
      <w:pPr>
        <w:ind w:left="6816" w:hanging="356"/>
      </w:pPr>
      <w:rPr/>
    </w:lvl>
    <w:lvl w:ilvl="7">
      <w:start w:val="0"/>
      <w:numFmt w:val="bullet"/>
      <w:lvlText w:val="•"/>
      <w:lvlJc w:val="left"/>
      <w:pPr>
        <w:ind w:left="7792" w:hanging="356"/>
      </w:pPr>
      <w:rPr/>
    </w:lvl>
    <w:lvl w:ilvl="8">
      <w:start w:val="0"/>
      <w:numFmt w:val="bullet"/>
      <w:lvlText w:val="•"/>
      <w:lvlJc w:val="left"/>
      <w:pPr>
        <w:ind w:left="8768" w:hanging="356"/>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8"/>
      <w:numFmt w:val="decimal"/>
      <w:lvlText w:val="%1."/>
      <w:lvlJc w:val="left"/>
      <w:pPr>
        <w:ind w:left="970" w:hanging="360"/>
      </w:pPr>
      <w:rPr/>
    </w:lvl>
    <w:lvl w:ilvl="1">
      <w:start w:val="1"/>
      <w:numFmt w:val="lowerLetter"/>
      <w:lvlText w:val="%2."/>
      <w:lvlJc w:val="left"/>
      <w:pPr>
        <w:ind w:left="1690" w:hanging="360"/>
      </w:pPr>
      <w:rPr/>
    </w:lvl>
    <w:lvl w:ilvl="2">
      <w:start w:val="1"/>
      <w:numFmt w:val="lowerRoman"/>
      <w:lvlText w:val="%3."/>
      <w:lvlJc w:val="right"/>
      <w:pPr>
        <w:ind w:left="2410" w:hanging="180"/>
      </w:pPr>
      <w:rPr/>
    </w:lvl>
    <w:lvl w:ilvl="3">
      <w:start w:val="1"/>
      <w:numFmt w:val="decimal"/>
      <w:lvlText w:val="%4."/>
      <w:lvlJc w:val="left"/>
      <w:pPr>
        <w:ind w:left="3130" w:hanging="360"/>
      </w:pPr>
      <w:rPr/>
    </w:lvl>
    <w:lvl w:ilvl="4">
      <w:start w:val="1"/>
      <w:numFmt w:val="lowerLetter"/>
      <w:lvlText w:val="%5."/>
      <w:lvlJc w:val="left"/>
      <w:pPr>
        <w:ind w:left="3850" w:hanging="360"/>
      </w:pPr>
      <w:rPr/>
    </w:lvl>
    <w:lvl w:ilvl="5">
      <w:start w:val="1"/>
      <w:numFmt w:val="lowerRoman"/>
      <w:lvlText w:val="%6."/>
      <w:lvlJc w:val="right"/>
      <w:pPr>
        <w:ind w:left="4570" w:hanging="180"/>
      </w:pPr>
      <w:rPr/>
    </w:lvl>
    <w:lvl w:ilvl="6">
      <w:start w:val="1"/>
      <w:numFmt w:val="decimal"/>
      <w:lvlText w:val="%7."/>
      <w:lvlJc w:val="left"/>
      <w:pPr>
        <w:ind w:left="5290" w:hanging="360"/>
      </w:pPr>
      <w:rPr/>
    </w:lvl>
    <w:lvl w:ilvl="7">
      <w:start w:val="1"/>
      <w:numFmt w:val="lowerLetter"/>
      <w:lvlText w:val="%8."/>
      <w:lvlJc w:val="left"/>
      <w:pPr>
        <w:ind w:left="6010" w:hanging="360"/>
      </w:pPr>
      <w:rPr/>
    </w:lvl>
    <w:lvl w:ilvl="8">
      <w:start w:val="1"/>
      <w:numFmt w:val="lowerRoman"/>
      <w:lvlText w:val="%9."/>
      <w:lvlJc w:val="right"/>
      <w:pPr>
        <w:ind w:left="673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43CED"/>
  </w:style>
  <w:style w:type="paragraph" w:styleId="Heading1">
    <w:name w:val="heading 1"/>
    <w:basedOn w:val="Normal"/>
    <w:next w:val="Normal"/>
    <w:link w:val="Heading1Char"/>
    <w:uiPriority w:val="9"/>
    <w:qFormat w:val="1"/>
    <w:rsid w:val="000F3822"/>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semiHidden w:val="1"/>
    <w:unhideWhenUsed w:val="1"/>
    <w:qFormat w:val="1"/>
    <w:rsid w:val="00571E85"/>
    <w:pPr>
      <w:keepNext w:val="1"/>
      <w:spacing w:after="60" w:before="240" w:line="240" w:lineRule="auto"/>
      <w:outlineLvl w:val="1"/>
    </w:pPr>
    <w:rPr>
      <w:rFonts w:ascii="Arial" w:cs="Times New Roman" w:hAnsi="Arial"/>
      <w:b w:val="1"/>
      <w:bCs w:val="1"/>
      <w:i w:val="1"/>
      <w:iCs w:val="1"/>
      <w:sz w:val="28"/>
      <w:szCs w:val="28"/>
      <w:lang w:eastAsia="ro-RO"/>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link w:val="ListParagraphChar"/>
    <w:uiPriority w:val="1"/>
    <w:qFormat w:val="1"/>
    <w:rsid w:val="00F43CED"/>
    <w:pPr>
      <w:ind w:left="720"/>
      <w:contextualSpacing w:val="1"/>
    </w:pPr>
  </w:style>
  <w:style w:type="character" w:styleId="fontstyle01" w:customStyle="1">
    <w:name w:val="fontstyle01"/>
    <w:basedOn w:val="DefaultParagraphFont"/>
    <w:rsid w:val="00586D31"/>
    <w:rPr>
      <w:rFonts w:ascii="Arial" w:cs="Arial" w:hAnsi="Arial" w:hint="default"/>
      <w:b w:val="1"/>
      <w:bCs w:val="1"/>
      <w:i w:val="0"/>
      <w:iCs w:val="0"/>
      <w:color w:val="333333"/>
      <w:sz w:val="22"/>
      <w:szCs w:val="22"/>
    </w:rPr>
  </w:style>
  <w:style w:type="character" w:styleId="fontstyle21" w:customStyle="1">
    <w:name w:val="fontstyle21"/>
    <w:basedOn w:val="DefaultParagraphFont"/>
    <w:rsid w:val="00586D31"/>
    <w:rPr>
      <w:rFonts w:ascii="Arial" w:cs="Arial" w:hAnsi="Arial" w:hint="default"/>
      <w:b w:val="0"/>
      <w:bCs w:val="0"/>
      <w:i w:val="0"/>
      <w:iCs w:val="0"/>
      <w:color w:val="333333"/>
      <w:sz w:val="22"/>
      <w:szCs w:val="22"/>
    </w:rPr>
  </w:style>
  <w:style w:type="paragraph" w:styleId="Default" w:customStyle="1">
    <w:name w:val="Default"/>
    <w:rsid w:val="00586D31"/>
    <w:pPr>
      <w:autoSpaceDE w:val="0"/>
      <w:autoSpaceDN w:val="0"/>
      <w:adjustRightInd w:val="0"/>
      <w:spacing w:after="0" w:line="240" w:lineRule="auto"/>
    </w:pPr>
    <w:rPr>
      <w:rFonts w:ascii="Times New Roman" w:cs="Times New Roman" w:hAnsi="Times New Roman"/>
      <w:color w:val="000000"/>
      <w:sz w:val="24"/>
      <w:szCs w:val="24"/>
    </w:rPr>
  </w:style>
  <w:style w:type="paragraph" w:styleId="Header">
    <w:name w:val="header"/>
    <w:basedOn w:val="Normal"/>
    <w:link w:val="HeaderChar"/>
    <w:uiPriority w:val="99"/>
    <w:unhideWhenUsed w:val="1"/>
    <w:rsid w:val="00192752"/>
    <w:pPr>
      <w:tabs>
        <w:tab w:val="center" w:pos="4680"/>
        <w:tab w:val="right" w:pos="9360"/>
      </w:tabs>
      <w:spacing w:after="0" w:line="240" w:lineRule="auto"/>
    </w:pPr>
  </w:style>
  <w:style w:type="character" w:styleId="HeaderChar" w:customStyle="1">
    <w:name w:val="Header Char"/>
    <w:basedOn w:val="DefaultParagraphFont"/>
    <w:link w:val="Header"/>
    <w:uiPriority w:val="99"/>
    <w:rsid w:val="00192752"/>
  </w:style>
  <w:style w:type="paragraph" w:styleId="Footer">
    <w:name w:val="footer"/>
    <w:basedOn w:val="Normal"/>
    <w:link w:val="FooterChar"/>
    <w:uiPriority w:val="99"/>
    <w:unhideWhenUsed w:val="1"/>
    <w:rsid w:val="00192752"/>
    <w:pPr>
      <w:tabs>
        <w:tab w:val="center" w:pos="4680"/>
        <w:tab w:val="right" w:pos="9360"/>
      </w:tabs>
      <w:spacing w:after="0" w:line="240" w:lineRule="auto"/>
    </w:pPr>
  </w:style>
  <w:style w:type="character" w:styleId="FooterChar" w:customStyle="1">
    <w:name w:val="Footer Char"/>
    <w:basedOn w:val="DefaultParagraphFont"/>
    <w:link w:val="Footer"/>
    <w:uiPriority w:val="99"/>
    <w:rsid w:val="00192752"/>
  </w:style>
  <w:style w:type="character" w:styleId="PageNumber">
    <w:name w:val="page number"/>
    <w:basedOn w:val="DefaultParagraphFont"/>
    <w:uiPriority w:val="99"/>
    <w:rsid w:val="00A933CC"/>
  </w:style>
  <w:style w:type="table" w:styleId="TableGrid">
    <w:name w:val="Table Grid"/>
    <w:basedOn w:val="TableNormal"/>
    <w:uiPriority w:val="39"/>
    <w:rsid w:val="00DC56B7"/>
    <w:pPr>
      <w:spacing w:after="0" w:line="240" w:lineRule="auto"/>
    </w:pPr>
    <w:rPr>
      <w:sz w:val="20"/>
      <w:szCs w:val="20"/>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BalloonText">
    <w:name w:val="Balloon Text"/>
    <w:basedOn w:val="Normal"/>
    <w:link w:val="BalloonTextChar"/>
    <w:uiPriority w:val="99"/>
    <w:semiHidden w:val="1"/>
    <w:unhideWhenUsed w:val="1"/>
    <w:rsid w:val="00CB49A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B49A1"/>
    <w:rPr>
      <w:rFonts w:ascii="Segoe UI" w:cs="Segoe UI" w:hAnsi="Segoe UI"/>
      <w:sz w:val="18"/>
      <w:szCs w:val="18"/>
    </w:rPr>
  </w:style>
  <w:style w:type="paragraph" w:styleId="FootnoteText">
    <w:name w:val="footnote text"/>
    <w:basedOn w:val="Normal"/>
    <w:link w:val="FootnoteTextChar"/>
    <w:semiHidden w:val="1"/>
    <w:unhideWhenUsed w:val="1"/>
    <w:rsid w:val="00D359E5"/>
    <w:pPr>
      <w:spacing w:after="0" w:line="240" w:lineRule="auto"/>
    </w:pPr>
    <w:rPr>
      <w:sz w:val="20"/>
      <w:szCs w:val="20"/>
    </w:rPr>
  </w:style>
  <w:style w:type="character" w:styleId="FootnoteTextChar" w:customStyle="1">
    <w:name w:val="Footnote Text Char"/>
    <w:basedOn w:val="DefaultParagraphFont"/>
    <w:link w:val="FootnoteText"/>
    <w:semiHidden w:val="1"/>
    <w:rsid w:val="00D359E5"/>
    <w:rPr>
      <w:sz w:val="20"/>
      <w:szCs w:val="20"/>
    </w:rPr>
  </w:style>
  <w:style w:type="character" w:styleId="FootnoteReference">
    <w:name w:val="footnote reference"/>
    <w:basedOn w:val="DefaultParagraphFont"/>
    <w:semiHidden w:val="1"/>
    <w:unhideWhenUsed w:val="1"/>
    <w:rsid w:val="00D359E5"/>
    <w:rPr>
      <w:vertAlign w:val="superscript"/>
    </w:rPr>
  </w:style>
  <w:style w:type="character" w:styleId="ListParagraphChar" w:customStyle="1">
    <w:name w:val="List Paragraph Char"/>
    <w:link w:val="ListParagraph"/>
    <w:uiPriority w:val="1"/>
    <w:locked w:val="1"/>
    <w:rsid w:val="00FD46A3"/>
  </w:style>
  <w:style w:type="table" w:styleId="TableGrid1" w:customStyle="1">
    <w:name w:val="Table Grid1"/>
    <w:basedOn w:val="TableNormal"/>
    <w:next w:val="TableGrid"/>
    <w:uiPriority w:val="99"/>
    <w:rsid w:val="00697DB7"/>
    <w:pPr>
      <w:spacing w:after="0" w:line="240" w:lineRule="auto"/>
    </w:pPr>
    <w:rPr>
      <w:sz w:val="20"/>
      <w:szCs w:val="20"/>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Heading2Char" w:customStyle="1">
    <w:name w:val="Heading 2 Char"/>
    <w:basedOn w:val="DefaultParagraphFont"/>
    <w:link w:val="Heading2"/>
    <w:rsid w:val="00571E85"/>
    <w:rPr>
      <w:rFonts w:ascii="Arial" w:cs="Times New Roman" w:eastAsia="Calibri" w:hAnsi="Arial"/>
      <w:b w:val="1"/>
      <w:bCs w:val="1"/>
      <w:i w:val="1"/>
      <w:iCs w:val="1"/>
      <w:sz w:val="28"/>
      <w:szCs w:val="28"/>
      <w:lang w:eastAsia="ro-RO" w:val="ro-RO"/>
    </w:rPr>
  </w:style>
  <w:style w:type="paragraph" w:styleId="BodyTextIndent2">
    <w:name w:val="Body Text Indent 2"/>
    <w:basedOn w:val="Normal"/>
    <w:link w:val="BodyTextIndent2Char"/>
    <w:rsid w:val="00571E85"/>
    <w:pPr>
      <w:spacing w:after="0" w:line="240" w:lineRule="auto"/>
      <w:ind w:left="360" w:firstLine="360"/>
      <w:jc w:val="both"/>
    </w:pPr>
    <w:rPr>
      <w:rFonts w:ascii="Times New Roman" w:cs="Times New Roman" w:eastAsia="Times New Roman" w:hAnsi="Times New Roman"/>
      <w:sz w:val="24"/>
      <w:szCs w:val="24"/>
    </w:rPr>
  </w:style>
  <w:style w:type="character" w:styleId="BodyTextIndent2Char" w:customStyle="1">
    <w:name w:val="Body Text Indent 2 Char"/>
    <w:basedOn w:val="DefaultParagraphFont"/>
    <w:link w:val="BodyTextIndent2"/>
    <w:rsid w:val="00571E85"/>
    <w:rPr>
      <w:rFonts w:ascii="Times New Roman" w:cs="Times New Roman" w:eastAsia="Times New Roman" w:hAnsi="Times New Roman"/>
      <w:sz w:val="24"/>
      <w:szCs w:val="24"/>
      <w:lang w:val="ro-RO"/>
    </w:rPr>
  </w:style>
  <w:style w:type="paragraph" w:styleId="BodyTextIndent3">
    <w:name w:val="Body Text Indent 3"/>
    <w:basedOn w:val="Normal"/>
    <w:link w:val="BodyTextIndent3Char"/>
    <w:rsid w:val="00571E85"/>
    <w:pPr>
      <w:spacing w:after="0" w:line="240" w:lineRule="auto"/>
      <w:ind w:left="360" w:firstLine="360"/>
    </w:pPr>
    <w:rPr>
      <w:rFonts w:ascii="Times New Roman" w:cs="Times New Roman" w:eastAsia="Times New Roman" w:hAnsi="Times New Roman"/>
      <w:sz w:val="24"/>
      <w:szCs w:val="24"/>
    </w:rPr>
  </w:style>
  <w:style w:type="character" w:styleId="BodyTextIndent3Char" w:customStyle="1">
    <w:name w:val="Body Text Indent 3 Char"/>
    <w:basedOn w:val="DefaultParagraphFont"/>
    <w:link w:val="BodyTextIndent3"/>
    <w:rsid w:val="00571E85"/>
    <w:rPr>
      <w:rFonts w:ascii="Times New Roman" w:cs="Times New Roman" w:eastAsia="Times New Roman" w:hAnsi="Times New Roman"/>
      <w:sz w:val="24"/>
      <w:szCs w:val="24"/>
      <w:lang w:val="ro-RO"/>
    </w:rPr>
  </w:style>
  <w:style w:type="character" w:styleId="Hyperlink">
    <w:name w:val="Hyperlink"/>
    <w:basedOn w:val="DefaultParagraphFont"/>
    <w:uiPriority w:val="99"/>
    <w:unhideWhenUsed w:val="1"/>
    <w:rsid w:val="004E002A"/>
    <w:rPr>
      <w:color w:val="0563c1" w:themeColor="hyperlink"/>
      <w:u w:val="single"/>
    </w:rPr>
  </w:style>
  <w:style w:type="paragraph" w:styleId="BodyText">
    <w:name w:val="Body Text"/>
    <w:basedOn w:val="Normal"/>
    <w:link w:val="BodyTextChar"/>
    <w:uiPriority w:val="99"/>
    <w:unhideWhenUsed w:val="1"/>
    <w:rsid w:val="00A61B08"/>
    <w:pPr>
      <w:spacing w:after="120"/>
    </w:pPr>
  </w:style>
  <w:style w:type="character" w:styleId="BodyTextChar" w:customStyle="1">
    <w:name w:val="Body Text Char"/>
    <w:basedOn w:val="DefaultParagraphFont"/>
    <w:link w:val="BodyText"/>
    <w:uiPriority w:val="99"/>
    <w:rsid w:val="00A61B08"/>
  </w:style>
  <w:style w:type="paragraph" w:styleId="TableParagraph" w:customStyle="1">
    <w:name w:val="Table Paragraph"/>
    <w:basedOn w:val="Normal"/>
    <w:uiPriority w:val="1"/>
    <w:qFormat w:val="1"/>
    <w:rsid w:val="00A61B08"/>
    <w:pPr>
      <w:widowControl w:val="0"/>
      <w:autoSpaceDE w:val="0"/>
      <w:autoSpaceDN w:val="0"/>
      <w:spacing w:after="0" w:line="240" w:lineRule="auto"/>
    </w:pPr>
    <w:rPr>
      <w:rFonts w:ascii="Times New Roman" w:cs="Times New Roman" w:eastAsia="Times New Roman" w:hAnsi="Times New Roman"/>
      <w:lang w:bidi="ro-RO" w:eastAsia="ro-RO"/>
    </w:rPr>
  </w:style>
  <w:style w:type="paragraph" w:styleId="Revision">
    <w:name w:val="Revision"/>
    <w:hidden w:val="1"/>
    <w:uiPriority w:val="99"/>
    <w:semiHidden w:val="1"/>
    <w:rsid w:val="00C63511"/>
    <w:pPr>
      <w:spacing w:after="0" w:line="240" w:lineRule="auto"/>
    </w:pPr>
  </w:style>
  <w:style w:type="paragraph" w:styleId="EndnoteText">
    <w:name w:val="endnote text"/>
    <w:basedOn w:val="Normal"/>
    <w:link w:val="EndnoteTextChar"/>
    <w:uiPriority w:val="99"/>
    <w:semiHidden w:val="1"/>
    <w:unhideWhenUsed w:val="1"/>
    <w:rsid w:val="00784942"/>
    <w:pPr>
      <w:spacing w:after="0" w:line="240" w:lineRule="auto"/>
    </w:pPr>
    <w:rPr>
      <w:sz w:val="20"/>
      <w:szCs w:val="20"/>
    </w:rPr>
  </w:style>
  <w:style w:type="character" w:styleId="EndnoteTextChar" w:customStyle="1">
    <w:name w:val="Endnote Text Char"/>
    <w:basedOn w:val="DefaultParagraphFont"/>
    <w:link w:val="EndnoteText"/>
    <w:uiPriority w:val="99"/>
    <w:semiHidden w:val="1"/>
    <w:rsid w:val="00784942"/>
    <w:rPr>
      <w:sz w:val="20"/>
      <w:szCs w:val="20"/>
    </w:rPr>
  </w:style>
  <w:style w:type="character" w:styleId="EndnoteReference">
    <w:name w:val="endnote reference"/>
    <w:basedOn w:val="DefaultParagraphFont"/>
    <w:uiPriority w:val="99"/>
    <w:semiHidden w:val="1"/>
    <w:unhideWhenUsed w:val="1"/>
    <w:rsid w:val="00784942"/>
    <w:rPr>
      <w:vertAlign w:val="superscript"/>
    </w:rPr>
  </w:style>
  <w:style w:type="character" w:styleId="CommentReference">
    <w:name w:val="annotation reference"/>
    <w:basedOn w:val="DefaultParagraphFont"/>
    <w:uiPriority w:val="99"/>
    <w:semiHidden w:val="1"/>
    <w:unhideWhenUsed w:val="1"/>
    <w:rsid w:val="008D3509"/>
    <w:rPr>
      <w:sz w:val="16"/>
      <w:szCs w:val="16"/>
    </w:rPr>
  </w:style>
  <w:style w:type="paragraph" w:styleId="CommentText">
    <w:name w:val="annotation text"/>
    <w:basedOn w:val="Normal"/>
    <w:link w:val="CommentTextChar"/>
    <w:uiPriority w:val="99"/>
    <w:semiHidden w:val="1"/>
    <w:unhideWhenUsed w:val="1"/>
    <w:rsid w:val="008D3509"/>
    <w:pPr>
      <w:spacing w:line="240" w:lineRule="auto"/>
    </w:pPr>
    <w:rPr>
      <w:sz w:val="20"/>
      <w:szCs w:val="20"/>
    </w:rPr>
  </w:style>
  <w:style w:type="character" w:styleId="CommentTextChar" w:customStyle="1">
    <w:name w:val="Comment Text Char"/>
    <w:basedOn w:val="DefaultParagraphFont"/>
    <w:link w:val="CommentText"/>
    <w:uiPriority w:val="99"/>
    <w:semiHidden w:val="1"/>
    <w:rsid w:val="008D3509"/>
    <w:rPr>
      <w:sz w:val="20"/>
      <w:szCs w:val="20"/>
    </w:rPr>
  </w:style>
  <w:style w:type="paragraph" w:styleId="CommentSubject">
    <w:name w:val="annotation subject"/>
    <w:basedOn w:val="CommentText"/>
    <w:next w:val="CommentText"/>
    <w:link w:val="CommentSubjectChar"/>
    <w:uiPriority w:val="99"/>
    <w:semiHidden w:val="1"/>
    <w:unhideWhenUsed w:val="1"/>
    <w:rsid w:val="008D3509"/>
    <w:rPr>
      <w:b w:val="1"/>
      <w:bCs w:val="1"/>
    </w:rPr>
  </w:style>
  <w:style w:type="character" w:styleId="CommentSubjectChar" w:customStyle="1">
    <w:name w:val="Comment Subject Char"/>
    <w:basedOn w:val="CommentTextChar"/>
    <w:link w:val="CommentSubject"/>
    <w:uiPriority w:val="99"/>
    <w:semiHidden w:val="1"/>
    <w:rsid w:val="008D3509"/>
    <w:rPr>
      <w:b w:val="1"/>
      <w:bCs w:val="1"/>
      <w:sz w:val="20"/>
      <w:szCs w:val="20"/>
    </w:rPr>
  </w:style>
  <w:style w:type="character" w:styleId="Heading1Char" w:customStyle="1">
    <w:name w:val="Heading 1 Char"/>
    <w:basedOn w:val="DefaultParagraphFont"/>
    <w:link w:val="Heading1"/>
    <w:uiPriority w:val="9"/>
    <w:rsid w:val="000F3822"/>
    <w:rPr>
      <w:rFonts w:asciiTheme="majorHAnsi" w:cstheme="majorBidi" w:eastAsiaTheme="majorEastAsia" w:hAnsiTheme="majorHAnsi"/>
      <w:color w:val="2e74b5" w:themeColor="accent1" w:themeShade="0000BF"/>
      <w:sz w:val="32"/>
      <w:szCs w:val="32"/>
    </w:rPr>
  </w:style>
  <w:style w:type="paragraph" w:styleId="NoSpacing">
    <w:name w:val="No Spacing"/>
    <w:uiPriority w:val="1"/>
    <w:qFormat w:val="1"/>
    <w:rsid w:val="0064029F"/>
    <w:pPr>
      <w:spacing w:after="0" w:line="240" w:lineRule="auto"/>
    </w:pPr>
    <w:rPr>
      <w:rFonts w:cs="Times New Roman"/>
    </w:rPr>
  </w:style>
  <w:style w:type="paragraph" w:styleId="NormalWeb">
    <w:name w:val="Normal (Web)"/>
    <w:basedOn w:val="Normal"/>
    <w:uiPriority w:val="99"/>
    <w:semiHidden w:val="1"/>
    <w:unhideWhenUsed w:val="1"/>
    <w:rsid w:val="003E3679"/>
    <w:pPr>
      <w:spacing w:after="100" w:afterAutospacing="1" w:before="100" w:beforeAutospacing="1" w:line="240" w:lineRule="auto"/>
    </w:pPr>
    <w:rPr>
      <w:rFonts w:ascii="Times New Roman" w:cs="Times New Roman" w:eastAsia="Times New Roman" w:hAnsi="Times New Roman"/>
      <w:sz w:val="24"/>
      <w:szCs w:val="24"/>
      <w:lang w:eastAsia="zh-CN"/>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0.0" w:type="dxa"/>
        <w:right w:w="0.0" w:type="dxa"/>
      </w:tblCellMar>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tblPr>
      <w:tblStyleRowBandSize w:val="1"/>
      <w:tblStyleColBandSize w:val="1"/>
      <w:tblCellMar>
        <w:left w:w="0.0" w:type="dxa"/>
        <w:right w:w="0.0" w:type="dxa"/>
      </w:tblCellMar>
    </w:tblPr>
  </w:style>
  <w:style w:type="table" w:styleId="a2" w:customStyle="1">
    <w:basedOn w:val="TableNormal"/>
    <w:tblPr>
      <w:tblStyleRowBandSize w:val="1"/>
      <w:tblStyleColBandSize w:val="1"/>
      <w:tblCellMar>
        <w:left w:w="0.0" w:type="dxa"/>
        <w:right w:w="0.0" w:type="dxa"/>
      </w:tblCellMar>
    </w:tblPr>
  </w:style>
  <w:style w:type="table" w:styleId="a3" w:customStyle="1">
    <w:basedOn w:val="TableNormal"/>
    <w:tblPr>
      <w:tblStyleRowBandSize w:val="1"/>
      <w:tblStyleColBandSize w:val="1"/>
      <w:tblCellMar>
        <w:left w:w="0.0" w:type="dxa"/>
        <w:right w:w="0.0" w:type="dxa"/>
      </w:tblCellMar>
    </w:tblPr>
  </w:style>
  <w:style w:type="table" w:styleId="a4" w:customStyle="1">
    <w:basedOn w:val="TableNormal"/>
    <w:tblPr>
      <w:tblStyleRowBandSize w:val="1"/>
      <w:tblStyleColBandSize w:val="1"/>
      <w:tblCellMar>
        <w:left w:w="0.0" w:type="dxa"/>
        <w:right w:w="0.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0.0" w:type="dxa"/>
        <w:right w:w="0.0" w:type="dxa"/>
      </w:tblCellMar>
    </w:tblPr>
  </w:style>
  <w:style w:type="table" w:styleId="a7" w:customStyle="1">
    <w:basedOn w:val="TableNormal"/>
    <w:tblPr>
      <w:tblStyleRowBandSize w:val="1"/>
      <w:tblStyleColBandSize w:val="1"/>
      <w:tblCellMar>
        <w:left w:w="0.0" w:type="dxa"/>
        <w:right w:w="0.0" w:type="dxa"/>
      </w:tblCellMar>
    </w:tblPr>
  </w:style>
  <w:style w:type="character" w:styleId="UnresolvedMention">
    <w:name w:val="Unresolved Mention"/>
    <w:basedOn w:val="DefaultParagraphFont"/>
    <w:uiPriority w:val="99"/>
    <w:semiHidden w:val="1"/>
    <w:unhideWhenUsed w:val="1"/>
    <w:rsid w:val="001238AF"/>
    <w:rPr>
      <w:color w:val="605e5c"/>
      <w:shd w:color="auto" w:fill="e1dfdd" w:val="clear"/>
    </w:rPr>
  </w:style>
  <w:style w:type="character" w:styleId="FollowedHyperlink">
    <w:name w:val="FollowedHyperlink"/>
    <w:basedOn w:val="DefaultParagraphFont"/>
    <w:uiPriority w:val="99"/>
    <w:semiHidden w:val="1"/>
    <w:unhideWhenUsed w:val="1"/>
    <w:rsid w:val="00226394"/>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8">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table" w:styleId="Table9">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buffalo.edu/catt/teach/develop/design/learning-outcomes/finks.html" TargetMode="External"/><Relationship Id="rId22" Type="http://schemas.openxmlformats.org/officeDocument/2006/relationships/footer" Target="footer1.xml"/><Relationship Id="rId10" Type="http://schemas.openxmlformats.org/officeDocument/2006/relationships/hyperlink" Target="https://doi.org/10.1080/1354060042000337093" TargetMode="External"/><Relationship Id="rId21" Type="http://schemas.openxmlformats.org/officeDocument/2006/relationships/header" Target="header2.xml"/><Relationship Id="rId13" Type="http://schemas.openxmlformats.org/officeDocument/2006/relationships/hyperlink" Target="https://cda.uvt.ro/wp-content/uploads/2023/01/Ghid-metodologic-pentru-elaborarea-si-utilizarea-fisei-disciplinei.pdf" TargetMode="External"/><Relationship Id="rId12" Type="http://schemas.openxmlformats.org/officeDocument/2006/relationships/hyperlink" Target="https://doi.org/10.1080/14623943.2024.237678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3102/0034654321990721" TargetMode="External"/><Relationship Id="rId15" Type="http://schemas.openxmlformats.org/officeDocument/2006/relationships/hyperlink" Target="https://doi.org/10.54329/akakk.113327" TargetMode="External"/><Relationship Id="rId14" Type="http://schemas.openxmlformats.org/officeDocument/2006/relationships/hyperlink" Target="https://www.learntechlib.org/p/208249/" TargetMode="External"/><Relationship Id="rId17" Type="http://schemas.openxmlformats.org/officeDocument/2006/relationships/hyperlink" Target="https://eur-lex.europa.eu/legal-content/RO/TXT/PDF/?uri=CELEX:32018H0604(01)&amp;from=EN" TargetMode="External"/><Relationship Id="rId16" Type="http://schemas.openxmlformats.org/officeDocument/2006/relationships/hyperlink" Target="about:blank" TargetMode="External"/><Relationship Id="rId5" Type="http://schemas.openxmlformats.org/officeDocument/2006/relationships/numbering" Target="numbering.xml"/><Relationship Id="rId19" Type="http://schemas.openxmlformats.org/officeDocument/2006/relationships/hyperlink" Target="https://doi.org/10.1080/14623943.2014.900012" TargetMode="External"/><Relationship Id="rId6" Type="http://schemas.openxmlformats.org/officeDocument/2006/relationships/styles" Target="styles.xml"/><Relationship Id="rId18" Type="http://schemas.openxmlformats.org/officeDocument/2006/relationships/hyperlink" Target="https://doi.org/10.1080/03075079.2016.1265498" TargetMode="External"/><Relationship Id="rId7" Type="http://schemas.openxmlformats.org/officeDocument/2006/relationships/customXml" Target="../customXML/item1.xml"/><Relationship Id="rId8" Type="http://schemas.openxmlformats.org/officeDocument/2006/relationships/hyperlink" Target="https://doi.org/10.1080/1360144X.2018.147325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RQUUXE9sXlev/4ED3n3W1aQ4g==">CgMxLjA4AHIhMVBNN2lhcHFsZ1RYM0Rnc0N6bEctTDRUSVBGM0dfX1BO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2020-02-03T19:58:00Z</dcterms:created>
  <dc:creator>Windows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c313fbe34b5433d6690bdc44b80557ccbf476101dc84fa3b2f6a1331a0a06b76</vt:lpwstr>
  </property>
</Properties>
</file>