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99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99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FIȘA DISCIPLINEI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99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5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 despre program</w:t>
      </w:r>
    </w:p>
    <w:tbl>
      <w:tblPr>
        <w:tblStyle w:val="Table1"/>
        <w:tblW w:w="10191.0" w:type="dxa"/>
        <w:jc w:val="left"/>
        <w:tblInd w:w="-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06"/>
        <w:gridCol w:w="6085"/>
        <w:tblGridChange w:id="0">
          <w:tblGrid>
            <w:gridCol w:w="4106"/>
            <w:gridCol w:w="6085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Instituția de învățământ superior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Universitatea de Vest din Timișoara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Facultatea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Departamentul pentru Pregătirea Personalului Didactic/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Centrul de Dezvoltare Academică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Domeniul de studii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Științe ale educației 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Programul de studii postuniversitare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UVT Teaching &amp; Learning Brand: program de dezvoltare inițială a instruirii reflexiv-colaborative a cadrelor didactice universitare</w:t>
            </w:r>
          </w:p>
        </w:tc>
      </w:tr>
    </w:tbl>
    <w:p w:rsidR="00000000" w:rsidDel="00000000" w:rsidP="00000000" w:rsidRDefault="00000000" w:rsidRPr="00000000" w14:paraId="0000000E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5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 despre disciplină</w:t>
      </w:r>
    </w:p>
    <w:tbl>
      <w:tblPr>
        <w:tblStyle w:val="Table2"/>
        <w:tblW w:w="10212.0" w:type="dxa"/>
        <w:jc w:val="left"/>
        <w:tblInd w:w="-4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04"/>
        <w:gridCol w:w="6108"/>
        <w:tblGridChange w:id="0">
          <w:tblGrid>
            <w:gridCol w:w="4104"/>
            <w:gridCol w:w="6108"/>
          </w:tblGrid>
        </w:tblGridChange>
      </w:tblGrid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Denumire disciplină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didactice de stimulare a interesului și învățării de profunzime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Titular activități de curs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Conf. univ. dr.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Rodica BLIDIȘEL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Titular activități de seminar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Rodica BLIDIȘEL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Referent de specialitate Paula-Ioana CAZAN</w:t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Titular activități de laborator/lucrări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5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Timpul total estimat </w:t>
      </w:r>
    </w:p>
    <w:tbl>
      <w:tblPr>
        <w:tblStyle w:val="Table3"/>
        <w:tblW w:w="10350.0" w:type="dxa"/>
        <w:jc w:val="left"/>
        <w:tblInd w:w="-5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80"/>
        <w:gridCol w:w="420"/>
        <w:gridCol w:w="570"/>
        <w:gridCol w:w="990"/>
        <w:gridCol w:w="285"/>
        <w:gridCol w:w="390"/>
        <w:gridCol w:w="1080"/>
        <w:gridCol w:w="345"/>
        <w:gridCol w:w="1170"/>
        <w:gridCol w:w="720"/>
        <w:tblGridChange w:id="0">
          <w:tblGrid>
            <w:gridCol w:w="4380"/>
            <w:gridCol w:w="420"/>
            <w:gridCol w:w="570"/>
            <w:gridCol w:w="990"/>
            <w:gridCol w:w="285"/>
            <w:gridCol w:w="390"/>
            <w:gridCol w:w="1080"/>
            <w:gridCol w:w="345"/>
            <w:gridCol w:w="1170"/>
            <w:gridCol w:w="720"/>
          </w:tblGrid>
        </w:tblGridChange>
      </w:tblGrid>
      <w:tr>
        <w:trPr>
          <w:cantSplit w:val="0"/>
          <w:trHeight w:val="343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3.1. Număr de ore de activități didactice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din care: ore Curs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4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Seminar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L/P/AP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3.3. Distribuția fondului de timp de studiu individual: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Studiul după manual, suport de curs, bibliografie și notițe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Documentare suplimentară în bibliotecă, pe platformele electronice de specialitate / pe teren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Pregătire seminare / laboratoare, teme, referate, portofolii și eseuri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Tutoriat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Examinări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Alte activități ……………………………………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3.4. Total ore studiu individual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3.5. Total ore de studiu alocate disciplinei (activități didactice + studiu individual)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3.6. Numărul de credite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spacing w:after="0" w:line="27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6" w:right="0" w:hanging="356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Precondiții pentru parcurgerea disciplinei (acolo unde este cazul)</w:t>
      </w:r>
    </w:p>
    <w:tbl>
      <w:tblPr>
        <w:tblStyle w:val="Table4"/>
        <w:tblW w:w="9689.0" w:type="dxa"/>
        <w:jc w:val="left"/>
        <w:tblInd w:w="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7704"/>
        <w:tblGridChange w:id="0">
          <w:tblGrid>
            <w:gridCol w:w="1985"/>
            <w:gridCol w:w="7704"/>
          </w:tblGrid>
        </w:tblGridChange>
      </w:tblGrid>
      <w:tr>
        <w:trPr>
          <w:cantSplit w:val="0"/>
          <w:trHeight w:val="309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de curriculum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1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 este cazul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de competențe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1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 este cazul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6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6" w:right="0" w:hanging="357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Condiții (acolo unde este cazul)</w:t>
      </w:r>
    </w:p>
    <w:tbl>
      <w:tblPr>
        <w:tblStyle w:val="Table5"/>
        <w:tblW w:w="9689.0" w:type="dxa"/>
        <w:jc w:val="left"/>
        <w:tblInd w:w="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8"/>
        <w:gridCol w:w="4281"/>
        <w:tblGridChange w:id="0">
          <w:tblGrid>
            <w:gridCol w:w="5408"/>
            <w:gridCol w:w="4281"/>
          </w:tblGrid>
        </w:tblGridChange>
      </w:tblGrid>
      <w:tr>
        <w:trPr>
          <w:cantSplit w:val="0"/>
          <w:trHeight w:val="402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5.1. de desfășurare a cursului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Spațiu adecvat de desfășurare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Sală de curs dotată cu  tehnologie audio-vizuală (videoproiector, ecran, laptop), internet.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Condiții specifice: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cont pe platforma de e-learning a CDA. 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5.2. de desfășurare a seminarului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Spațiu interactiv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Sală cu mobilier flexibil pentru discuții în grup și dezbateri.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Tehnologie: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videoproiector/ tablă interactivă (dacă e cazul).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ind w:left="14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Condiții specifice: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cont pe platforma de e-learning a CDA.</w:t>
            </w:r>
          </w:p>
        </w:tc>
      </w:tr>
      <w:tr>
        <w:trPr>
          <w:cantSplit w:val="0"/>
          <w:trHeight w:val="402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5.3. de desfășurare a laboratorului/activităților practice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6" w:right="0" w:hanging="357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Rezultatele așteptate ale învățării</w:t>
      </w:r>
      <w:r w:rsidDel="00000000" w:rsidR="00000000" w:rsidRPr="00000000">
        <w:rPr>
          <w:rtl w:val="0"/>
        </w:rPr>
      </w:r>
    </w:p>
    <w:tbl>
      <w:tblPr>
        <w:tblStyle w:val="Table6"/>
        <w:tblW w:w="9690.0" w:type="dxa"/>
        <w:jc w:val="left"/>
        <w:tblInd w:w="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10"/>
        <w:gridCol w:w="7680"/>
        <w:tblGridChange w:id="0">
          <w:tblGrid>
            <w:gridCol w:w="2010"/>
            <w:gridCol w:w="7680"/>
          </w:tblGrid>
        </w:tblGridChange>
      </w:tblGrid>
      <w:tr>
        <w:trPr>
          <w:cantSplit w:val="0"/>
          <w:trHeight w:val="243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51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Cunoștințe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să identifice instrumente și resurse educaționale deschise care pot eficientiza dezvoltarea unui curriculum adaptat nevoilor studenților, pentru seminarele și laboratoarele proprii, cu accent pe integrarea competențelor practice și teoretice.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să demonstreze cunoașterea caracteristicilor și nevoilor de învățare specifice studenților;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să demonstreze cunoașterea teoriilor și strategiilor pentru motivarea și angajarea în învățare a studenților.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77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Abilități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creeze materiale didactice relevante și atractive care să stimuleze învățarea de profunzime a studenților;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implementeze strategii interactive și colaborative pentru a facilita învățarea de profunzime;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utilizeze rezultatele cercetărilor educaționale relevante în predarea disciplinei referențial;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utilizeze metode de cercetare pentru a-și evalua și îmbunătăți propria eficiență a predării și învățării;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analizeze tendințele și inovațiile recente din domeniul său de expertiză, cu scopul de a le introduce în procesul de predare-învățare-evaluare.</w:t>
            </w:r>
          </w:p>
        </w:tc>
      </w:tr>
      <w:tr>
        <w:trPr>
          <w:cantSplit w:val="0"/>
          <w:trHeight w:val="25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Responsabilitate și autonomie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promoveze diversitatea, incluziunea și egalitatea de gen în învățământul superior.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manifeste o atitudine deschisă și respectuoasă față de diversitatea culturală și individuală în mediul universitar;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demonstreze curiozitate intelectuală și dorință de inovație în practici educaționale și de cercetare;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dovedească perseverență și angajament în fața provocărilor academice și didactice;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evalueze critic valoarea pedagogică, relevanța și utilitatea aplicațiilor IA disponibile cu acces deschis.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7"/>
        </w:tabs>
        <w:spacing w:after="0" w:before="0" w:line="276" w:lineRule="auto"/>
        <w:ind w:left="966" w:right="0" w:hanging="356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Conținuturi</w:t>
      </w:r>
    </w:p>
    <w:tbl>
      <w:tblPr>
        <w:tblStyle w:val="Table7"/>
        <w:tblW w:w="9765.0" w:type="dxa"/>
        <w:jc w:val="left"/>
        <w:tblInd w:w="8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05"/>
        <w:gridCol w:w="2850"/>
        <w:gridCol w:w="2910"/>
        <w:tblGridChange w:id="0">
          <w:tblGrid>
            <w:gridCol w:w="4005"/>
            <w:gridCol w:w="2850"/>
            <w:gridCol w:w="2910"/>
          </w:tblGrid>
        </w:tblGridChange>
      </w:tblGrid>
      <w:tr>
        <w:trPr>
          <w:cantSplit w:val="0"/>
          <w:trHeight w:val="251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7.1. Curs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0" w:right="42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5" w:right="18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Observații</w:t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Învățarea ca proces: rolul neuroreglatorilor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RAD (saR, Amigdala, Dopamina)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 stimularea interesului și învățarea de profunzime</w:t>
            </w:r>
          </w:p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Caracteristicile și nevoile de învățare ale studenților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interactivă, studii de caz, conversație euristică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Stimularea motivației intrinseci: cultivarea curiozității și a interesului pentru setarea și atingerea obiectivelor de învățare. 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Interesul pentru studiu: tipuri, etape și declanșatori pentru stimularea învățării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interactivă, exercițiu de auto-reflecție, analiza unor studii de caz reale sau fictive, hartă conceptuală, reflecție individuală și de grup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de stimulare a interesului bazate pe procesele cognitive: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 - memoria 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gândirii metacognitive și autoreglarea învățării.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interactivă, exercițiu de auto-reflecție, analiza unor studii de caz reale sau fictive, simulare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de stimulare a interesului bazate pe emoție: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 - amigdala</w:t>
            </w:r>
          </w:p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Dezvoltarea competențelor socio-emoționale prin învățare activă și colaborativă: metode participative, feedback și autoevaluare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interactivă, exercițiu de auto-reflecție, analiza unor studii de caz reale sau fictive, simulare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de stimulare a interesului bazate pe sistemul de recompensă: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 - dopamina 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Gamificarea învățării: integrarea designului de jocuri în învățare pentru stimularea interesului și a motivației.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interactivă, exercițiu de auto-reflecție, analiza unor studii de caz reale sau fictive, simulare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Sinteze și strategii inovative de stimulare a interesului și învățării de profunzime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conversație euristică, reflecție individuală, reflecție colectivă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4 ore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Bibliografie: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27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obligatorie</w:t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Bureau, J. S., Howard, J. L., Chong, J. X. Y., &amp; Guay, F. (2021). Pathways to Student Motivation: A Meta-Analysis of Antecedents of Autonomous and Controlled Motivations.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Review of Educational Research, 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(1), 46–72.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https://doi.org/10.3102/00346543211042426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Hidi, S. E., &amp; Renninger, K. A. (2019). Interest development and its relation to curiosity: Needed neuroscientific research.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Educational Psychology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(4), 833-852.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https://doi.org/10.1007/s10648-019-09491-3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Howard, J. L., Bureau, J. S., Guay, F., Chong, J. X., &amp; Ryan, R. M. (2021). Student motivation and associated outcomes: A meta-analysis from self-determination theory.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Perspectives on Psychological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(6), 1300-1323.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https://doi.org/10.1177/1745691620966789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Reeve, J., &amp; Cheon, S. H. (2021). Autonomy-supportive teaching: Its malleability, benefits, and potential to improve educational practice.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Educational Psychologist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(1), 54-77.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https://doi.org/10.1080/00461520.2020.1862657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Renninger, K. A., &amp; Hidi, S. E. (2022). Interest development, self-related information processing, and practice.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Theory Into Practice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61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(1), 23-34.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https://doi.org/10.1080/00405841.2021.1932159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Linnenbrink-Garcia, L., Durik, A. M., Conley, A. M., Barron, K. E., Tauer, J. M., Karabenick, S. A., &amp; Harackiewicz, J. M. (2010). Measuring situational interest in academic domains.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and Psychological Measurement, 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(4), 647-671.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https://doi.org/10.1177/0013164409355699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Paloș, R. (2012). Teorii ale învățării și implicațiile lor educaționale. Timișoara: Editura Universității de Vest (ed. II)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Quinlan, K. M. (2019). What triggers students’ interest during higher education lectures? Personal and situational variables associated with situational interest.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Studies in Higher Education,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44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(10), 1781-1792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https://doi.org/10.1080/03075079.2019.1665325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76" w:lineRule="auto"/>
              <w:ind w:left="708.6614173228347" w:hanging="420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Raiu, S.-L. (2021). Generațiile X, Y și Z pe piața muncii. Caracteristici specifice, strategii de implicare în învățarea activă și abordări ale relației managerilor cu angajații.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Sociologie Românească,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89-121.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https://doi.org/10.33788/sr.19.2.4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Sousa, D. A. (2001). How the brain learns: A classroom teacher's guide (2nd ed.). Corwin Press.</w:t>
            </w:r>
          </w:p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Stenalt, M. H., &amp; Lassesen, B. (2021). Does student agency benefit student learning? A systematic review of higher education research.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Assessment &amp; Evaluation in Higher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(5), 653–669.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https://doi.org/10.1080/02602938.2021.1967874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Tang, X., Renninger, K. A., Hidi, S. E., Murayama, K., Lavonen, J., &amp; Salmela-Aro, K. (2022). The differences and similarities between curiosity and interest: Meta-analysis and network analyses.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Learning and Instruction, 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101628.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https://doi.org/10.1016/j.learninstruc.2022.101628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Willis, J., &amp; Willis, M.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Research-Based strategies to ignite student learning: Insights from Neuroscience and the Classroom, Revised and Expanded Edition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DC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Wilson, S. L., Riva, E., &amp; Lister, K. (2024). Positive Pedagogies: Co-creation partnerships to support social and emotional learning in higher education.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Social and Emotional Learning: Research, Practice, and Policy,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100035.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https://doi.org/10.1016/j.sel.2024.100035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Zhou, M., Lam, K. K. L., &amp; Zhang, Y. (2021). Metacognition and Academic Procrastination: A Meta-Analytical Examination.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Rational-Emotive &amp; Cognitive-Behavior Therapy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334–368.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https://doi.org/10.1007/s10942-021-00415-1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27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suplimentară</w:t>
            </w:r>
          </w:p>
          <w:p w:rsidR="00000000" w:rsidDel="00000000" w:rsidP="00000000" w:rsidRDefault="00000000" w:rsidRPr="00000000" w14:paraId="000000E0">
            <w:pPr>
              <w:spacing w:after="0" w:line="276" w:lineRule="auto"/>
              <w:ind w:left="850.3937007874017" w:hanging="566.929133858268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 Boer, H., Donker, A. S., Kostons, D. D., &amp; Van Der Werf, G. P. (2018). Long-term effects of metacognitive strategy instruction on student academic performance: A meta-analysis.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Research Review, 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98–115. 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https://doi.org/10.1016/j.edurev.2018.03.002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Elizabeth A. Linnenbrink &amp; Paul R. Pintrich (2002) Motivation as an Enabler for Academic Success,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School Psychology Review, 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(3), 313-327, 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https://doi.org/10.1080/02796015.2002.12086158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2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highlight w:val="white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Hidi, S., &amp; Harackiewicz, J. M. (2000, June). Motivating the Academically Unmotivated: A Critical Issue for the 21st Century.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Review of Educational Research, 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151–179.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https://doi.org/10.3102/00346543070002151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Lieberman, D. Z., &amp; Long, M. E. (2018). The Molecule of More: how a single chemical in your brain drives love, sex, and creativity—and will determine the fate of the human race.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https://hsrc.himmelfarb.gwu.edu/books/249/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Murre, J. M., &amp; Dros, J. (2015). Replication and analysis of Ebbinghaus’ forgetting curve.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PloS One,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(7), e0120644.</w:t>
            </w:r>
          </w:p>
          <w:p w:rsidR="00000000" w:rsidDel="00000000" w:rsidP="00000000" w:rsidRDefault="00000000" w:rsidRPr="00000000" w14:paraId="000000E5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Quinlan, K. M. (2016). How emotion matters in four key relationships in teaching and learning in higher education.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College Teaching, 64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101-111.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https://doi.org/10.1080/87567555.2015.1088818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Schneider, M., &amp; Preckel, F. (2017). Variables associated with achievement in higher education: A systematic review of meta-analyses.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Psychological Bulletin, 143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565–600. </w:t>
            </w: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https://psycnet.apa.org/doi/10.1037/bul0000098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76" w:lineRule="auto"/>
              <w:ind w:left="720" w:hanging="436.53543307086625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Zhou, M., Lam, K. K. L., &amp; Zhang, Y. (2021b). Metacognition and Academic Procrastination: A Meta-Analytical Examination.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Rational-Emotive &amp; Cognitive-Behavior Therapy, 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334–368.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https://doi.org/10.1007/s10942-021-00415-1 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line="276" w:lineRule="auto"/>
              <w:ind w:left="720" w:hanging="436.53543307086625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7.2. Seminar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0" w:right="42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9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Observații</w:t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EE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Implicații ale învățării după Școlile de învățare (constructivistă, behavioristă, umanistă)</w:t>
            </w:r>
          </w:p>
          <w:p w:rsidR="00000000" w:rsidDel="00000000" w:rsidP="00000000" w:rsidRDefault="00000000" w:rsidRPr="00000000" w14:paraId="000000E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Învățarea relevantă pentru studenți: caracteristici personale și generaționale în abordarea învățării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prezentarea interactivă, reflecție individuală, reflecție colectivă, studii de caz, învățare prin descoperire, conversația euristică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Tipuri motivaționale și relația lor cu succesul academic. Declanșarea și menținerea interesului pentru studiu.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reflecție individuală, reflecție colectivă, sinteza, conversația euristică, hartă conceptuală, studiu de caz.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F7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de stimulare a interesului bazate pe cogniție: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R, memoria.</w:t>
            </w:r>
          </w:p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Metacogniția și mnemotehnici în învățare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reflecție individuală, învățare autodirijată, prezentare, conversația euristică</w:t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Metode și tehnici de stimulare a interesului bazate pe emoție: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A, amigdala.</w:t>
            </w:r>
          </w:p>
          <w:p w:rsidR="00000000" w:rsidDel="00000000" w:rsidP="00000000" w:rsidRDefault="00000000" w:rsidRPr="00000000" w14:paraId="000000F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Motivația în învățare: auto-eficiență, auto-reglare, învățarea socială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reflecție individuală, învățare autodirijată, prezentarea, conversația euristică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FF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Metode și tehnici de stimulare a interesului bazate pe sistemul de recompensă: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D, dopamina </w:t>
            </w:r>
          </w:p>
          <w:p w:rsidR="00000000" w:rsidDel="00000000" w:rsidP="00000000" w:rsidRDefault="00000000" w:rsidRPr="00000000" w14:paraId="00000100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Învățarea prin joc: gamificare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widowControl w:val="0"/>
              <w:spacing w:after="0" w:line="276" w:lineRule="auto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reflecție individuală, învățare autodirijată, prezentarea, conversația euristică, studii de caz,gamificare în stil matrice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Sinteze și strategii inovative de stimulare a interesului și învățării de profunzime</w:t>
            </w:r>
          </w:p>
        </w:tc>
        <w:tc>
          <w:tcPr/>
          <w:p w:rsidR="00000000" w:rsidDel="00000000" w:rsidP="00000000" w:rsidRDefault="00000000" w:rsidRPr="00000000" w14:paraId="00000106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reflecție individuală, reflecție colectivă, dezbaterea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ore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27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obligatorie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Bureau, J. S., Howard, J. L., Chong, J. X. Y., &amp; Guay, F. (2021). Pathways to Student Motivation: A Meta-Analysis of Antecedents of Autonomous and Controlled Motivations.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Review of Educational Research, 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(1), 46–72.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https://doi.org/10.3102/00346543211042426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Hidi Suzanne E.; Renninger, K. Ann (2019). Interest Development and Its Relation to Curiosity: Needed Neuroscientific research.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Psychology Review,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(31)4, 833–852.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https://doi.org/10.1007/s10648-019-09491-3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10C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Howard, J. L., Bureau, J., Guay, F., Chong, J. X. Y., &amp; Ryan, R. M. (2021). Student Motivation and Associated Outcomes: A Meta-Analysis From Self-Determination Theory.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Perspectives on Psychological Science, 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(6), 1300–1323. </w:t>
            </w: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https://doi.org/10.1177/1745691620966789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D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Reeve J. &amp; Cheon S. H. (2021). Autonomy-supportive teaching: Its malleability, benefits, and potential to improve educational practice,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Psychologist, 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1), 54-77, htpps://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doi.org/10.1080/00461520.2020.1862657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E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Renninger, A.K. &amp; Hidi, S.E. (2022) Interest development, self-related information processing, and practice,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Theory Into Practice, 61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(1), 23-34,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https://doi.org/10.1080/00405841.2021.1932159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F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Linnenbrink-Garcia, L., Durik, A. M., Conley, A. M., Barron, K. E., Tauer, J. M., Karabenick, S. A., &amp; Harackiewicz, J. M. (2010). Measuring situational interest in academic domains.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and Psychological Measurement, 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(4), 647-671. </w:t>
            </w: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https://doi.org/10.1177/0013164409355699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0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Paloș, R. (2012). Teorii ale învățării și implicațiile lor educaționale. Timișoara: Editura Universității de Vest (ed. II)</w:t>
            </w:r>
          </w:p>
          <w:p w:rsidR="00000000" w:rsidDel="00000000" w:rsidP="00000000" w:rsidRDefault="00000000" w:rsidRPr="00000000" w14:paraId="00000111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Quinlan, K. M. (2019). What triggers students’ interest during higher education lectures? Personal and situational variables associated with situational interest.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Studies in Higher Education,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44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(10), 1781-1792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https://doi.org/10.1080/03075079.2019.1665325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0" w:line="276" w:lineRule="auto"/>
              <w:ind w:left="708.6614173228347" w:hanging="420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Raiu, S.-L. (2021). Generațiile X, Y și Z pe piața muncii. Caracteristici specifice, strategii de implicare în învățarea activă și abordări ale relației managerilor cu angajații.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Sociologie Românească,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89-121. </w:t>
            </w: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https://doi.org/10.33788/sr.19.2.4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Sousa, D. A. (2001). How the brain learns: A classroom teacher's guide (2nd ed.). Corwin Press.</w:t>
            </w:r>
          </w:p>
          <w:p w:rsidR="00000000" w:rsidDel="00000000" w:rsidP="00000000" w:rsidRDefault="00000000" w:rsidRPr="00000000" w14:paraId="00000114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Stenalt, M. H., &amp; Lassesen, B. (2021). Does student agency benefit student learning? A systematic review of higher education research.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Assessment &amp; Evaluation in Higher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(5), 653–669.</w:t>
            </w:r>
            <w:hyperlink r:id="rId36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https://doi.org/10.1080/02602938.2021.1967874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Tang, X., Renninger, K. A., Hidi, S. E., Murayama, K., Lavonen, J., &amp; Salmela-Aro, K. (2022). The differences and similarities between curiosity and interest: Meta-analysis and network analyses.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Learning and Instruction, 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101628. </w:t>
            </w:r>
            <w:hyperlink r:id="rId3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https://doi.org/10.1016/j.learninstruc.2022.101628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6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Willis, J., &amp; Willis, M.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Research-Based strategies to ignite student learning: Insights from Neuroscience and the Classroom, Revised and Expanded Edition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ISBN: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978-1-4166-2858-3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spacing w:after="0" w:before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Wilson, S. L., Riva, E., &amp; Lister, K. (2024). Positive Pedagogies: Co-creation partnerships to support social and emotional learning in higher education.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Social and Emotional Learning: Research, Practice, and Policy,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100035. </w:t>
            </w:r>
            <w:hyperlink r:id="rId3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https://doi.org/10.1016/j.sel.2024.100035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8">
            <w:pPr>
              <w:widowControl w:val="0"/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Zhou, M., Lam, K. K. L., &amp; Zhang, Y. (2021). Metacognition and Academic Procrastination: A Meta-Analytical Examination.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Rational-Emotive &amp; Cognitive-Behavior Therapy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334–368. </w:t>
            </w:r>
            <w:hyperlink r:id="rId4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https://doi.org/10.1007/s10942-021-00415-1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27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suplimentară</w:t>
            </w:r>
          </w:p>
          <w:p w:rsidR="00000000" w:rsidDel="00000000" w:rsidP="00000000" w:rsidRDefault="00000000" w:rsidRPr="00000000" w14:paraId="0000011B">
            <w:pPr>
              <w:spacing w:after="0" w:line="276" w:lineRule="auto"/>
              <w:ind w:left="850.3937007874017" w:hanging="566.929133858268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 Boer, H., Donker, A. S., Kostons, D. D., &amp; Van Der Werf, G. P. (2018). Long-term effects of metacognitive strategy instruction on student academic performance: A meta-analysis.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Educational Research Review, 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98–115. </w:t>
            </w:r>
            <w:hyperlink r:id="rId4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https://doi.org/10.1016/j.edurev.2018.03.002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Elizabeth A. Linnenbrink &amp; Paul R. Pintrich (2002) Motivation as an Enabler for Academic Success,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School Psychology Review, 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(3), 313-327. </w:t>
            </w:r>
            <w:hyperlink r:id="rId4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https://doi.org/10.1080/02796015.2002.12086158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color w:val="1155cc"/>
                <w:sz w:val="20"/>
                <w:szCs w:val="20"/>
                <w:highlight w:val="white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Hidi, S., &amp; Harackiewicz, J. M. (2000, June). Motivating the Academically Unmotivated: A Critical Issue for the 21st Century.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Review of Educational Research, 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151–179.</w:t>
            </w:r>
            <w:hyperlink r:id="rId4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 https://doi.org/10.3102/00346543070002151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Lieberman, D. Z., &amp; Long, M. E. (2018).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Molecule of More: how a single chemical in your brain drives love, sex, and creativity—and will determine the fate of the human race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hyperlink r:id="rId4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https://hsrc.himmelfarb.gwu.edu/books/249/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Murre, J. M., &amp; Dros, J. (2015). Replication and analysis of Ebbinghaus’ forgetting curve.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PloS one,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(7), e0120644.</w:t>
            </w:r>
          </w:p>
          <w:p w:rsidR="00000000" w:rsidDel="00000000" w:rsidP="00000000" w:rsidRDefault="00000000" w:rsidRPr="00000000" w14:paraId="00000120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Quinlan, K. M. (2016). How emotion matters in four key relationships in teaching and learning in higher education.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College Teaching, 64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101-111. </w:t>
            </w:r>
            <w:hyperlink r:id="rId4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https://doi.org/10.1080/87567555.2015.1088818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0" w:line="276" w:lineRule="auto"/>
              <w:ind w:left="708.6614173228347" w:hanging="425.196850393700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Schneider, M., &amp; Preckel, F. (2017). Variables associated with achievement in higher education: A systematic review of meta-analyses.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Psychological Bulletin, 143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565–600. </w:t>
            </w:r>
            <w:hyperlink r:id="rId4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https://psycnet.apa.org/doi/10.1037/bul0000098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after="0" w:line="276" w:lineRule="auto"/>
              <w:ind w:left="720" w:hanging="436.53543307086625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Zhou, M., Lam, K. K. L., &amp; Zhang, Y. (2021b). Metacognition and Academic Procrastination: A Meta-Analytical Examination.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Rational-Emotive &amp; Cognitive-Behavior Therapy, 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(2), 334–368. </w:t>
            </w:r>
            <w:hyperlink r:id="rId4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https://doi.org/10.1007/s10942-021-00415-1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tabs>
          <w:tab w:val="left" w:leader="none" w:pos="1035"/>
        </w:tabs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1"/>
          <w:tab w:val="left" w:leader="none" w:pos="1022"/>
        </w:tabs>
        <w:spacing w:after="0" w:before="0" w:line="276" w:lineRule="auto"/>
        <w:ind w:left="966" w:right="0" w:hanging="356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Evaluare</w:t>
      </w:r>
    </w:p>
    <w:tbl>
      <w:tblPr>
        <w:tblStyle w:val="Table8"/>
        <w:tblW w:w="9689.0" w:type="dxa"/>
        <w:jc w:val="left"/>
        <w:tblInd w:w="1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10"/>
        <w:gridCol w:w="2164"/>
        <w:gridCol w:w="2355"/>
        <w:gridCol w:w="3060"/>
        <w:tblGridChange w:id="0">
          <w:tblGrid>
            <w:gridCol w:w="2110"/>
            <w:gridCol w:w="2164"/>
            <w:gridCol w:w="2355"/>
            <w:gridCol w:w="3060"/>
          </w:tblGrid>
        </w:tblGridChange>
      </w:tblGrid>
      <w:tr>
        <w:trPr>
          <w:cantSplit w:val="0"/>
          <w:trHeight w:val="2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 activitate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Criterii de evaluare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2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Metode de evaluare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2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Pondere din nota finală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8.1. Curs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Identificarea corectă a resurselor educaționale deschise în domeniu. 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Cunoașterea caracteristicilor și nevoilor de învățare ale studenților. 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Înțelegerea și utilizarea metodelor și tehnicilor didactice de stimulare a interesului și învățării de profunzime.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În sesiunea de examene: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Colocviu (20%) 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 parcursul semestrului: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1.7322834645671" w:right="0" w:hanging="15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Completare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Jurnal de reflecție personală (20%)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Evaluare continuă în timpul cursurilor/ feedback periodic. (10%)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8.2. Seminar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Capacitatea de a crea materiale didactice relevante. </w:t>
            </w:r>
          </w:p>
          <w:p w:rsidR="00000000" w:rsidDel="00000000" w:rsidP="00000000" w:rsidRDefault="00000000" w:rsidRPr="00000000" w14:paraId="0000013A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Aplicarea strategiilor interactive pentru învățare. </w:t>
            </w:r>
          </w:p>
          <w:p w:rsidR="00000000" w:rsidDel="00000000" w:rsidP="00000000" w:rsidRDefault="00000000" w:rsidRPr="00000000" w14:paraId="0000013B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Utilizarea cercetărilor educaționale în predare.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În sesiunea de examene:</w:t>
            </w:r>
          </w:p>
          <w:p w:rsidR="00000000" w:rsidDel="00000000" w:rsidP="00000000" w:rsidRDefault="00000000" w:rsidRPr="00000000" w14:paraId="0000013D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Prezentare finală- Schiță de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roiect de lecție care să demonstreze capacitatea de aplicare a  metodelor și tehnicilor didactice de stimulare a interesului și învățării de profunzime. (30%)</w:t>
            </w:r>
          </w:p>
          <w:p w:rsidR="00000000" w:rsidDel="00000000" w:rsidP="00000000" w:rsidRDefault="00000000" w:rsidRPr="00000000" w14:paraId="0000013E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 parcursul semestrului:</w:t>
            </w:r>
          </w:p>
          <w:p w:rsidR="00000000" w:rsidDel="00000000" w:rsidP="00000000" w:rsidRDefault="00000000" w:rsidRPr="00000000" w14:paraId="00000140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Observarea directă a activităților - Schiță de proiect de lecție care să demonstreze capacitatea de aplicare a  metodelor și tehnicilor didactice de stimulare a interesului și învățării de profunzime. </w:t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Evaluare continuă a implicării și cunoștințelor de bază/ </w:t>
            </w:r>
          </w:p>
          <w:p w:rsidR="00000000" w:rsidDel="00000000" w:rsidP="00000000" w:rsidRDefault="00000000" w:rsidRPr="00000000" w14:paraId="00000142">
            <w:pPr>
              <w:widowControl w:val="0"/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feedback periodic. (20%)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8.4. Standard minim de performanță</w:t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Nota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(cinci)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Pentru a obține nota minimă de 5, studentul trebuie să demonstreze cunoștințe și abilități de bază, să participe la activități și să îndeplinească cerințele minime, dar suficiente pentru promovare, precum: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Cunoașterea și înțelegerea noțiunilor de bază (înțelegere superficială a conceptelor fundamentale prezentate în cadrul cursului și seminarului, capacitatea de reproducere a unor informații esențiale, dar fără detalii sau explicații aprofundate).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Capacitatea de aplicare minimă a cunoștințelor, capacitate limitată de analiză și sinteză (oferirea de soluții corecte dar incomplet dezvoltate, raționament insuficient justificat, realizarea de conexiuni logice între concepte la nivel minim).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Participare și implicare redusă (participare preponderent pasivă, cu implicare minimă în discuții sau proiecte).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Îndeplinirea cerințelor minime de evaluare: studentul a realizat activitățile obligatorii (teste, teme, activități practice), dar rezultatele obținute sunt limitate la nivelul minim de competențe necesare.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Prezență minimă: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conform regulamentului UVT</w:t>
            </w:r>
          </w:p>
        </w:tc>
      </w:tr>
    </w:tbl>
    <w:p w:rsidR="00000000" w:rsidDel="00000000" w:rsidP="00000000" w:rsidRDefault="00000000" w:rsidRPr="00000000" w14:paraId="0000015F">
      <w:pPr>
        <w:spacing w:after="0"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78.0" w:type="dxa"/>
        <w:jc w:val="left"/>
        <w:tblLayout w:type="fixed"/>
        <w:tblLook w:val="0000"/>
      </w:tblPr>
      <w:tblGrid>
        <w:gridCol w:w="4545"/>
        <w:gridCol w:w="5233"/>
        <w:tblGridChange w:id="0">
          <w:tblGrid>
            <w:gridCol w:w="4545"/>
            <w:gridCol w:w="5233"/>
          </w:tblGrid>
        </w:tblGridChange>
      </w:tblGrid>
      <w:tr>
        <w:trPr>
          <w:cantSplit w:val="0"/>
          <w:trHeight w:val="835" w:hRule="atLeast"/>
          <w:tblHeader w:val="0"/>
        </w:trPr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1" w:right="1132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completării: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Titular curs (Semnătura):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niv. dr.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Rodica BLIDIȘEL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Titular(i) seminar (Semnătura):</w:t>
            </w:r>
          </w:p>
          <w:p w:rsidR="00000000" w:rsidDel="00000000" w:rsidP="00000000" w:rsidRDefault="00000000" w:rsidRPr="00000000" w14:paraId="00000165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Conf. univ. dr. Rodica BLIDIȘEL</w:t>
            </w:r>
          </w:p>
          <w:p w:rsidR="00000000" w:rsidDel="00000000" w:rsidP="00000000" w:rsidRDefault="00000000" w:rsidRPr="00000000" w14:paraId="00000166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Referent de specialitate Paula-Ioana CAZAN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2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5" w:hRule="atLeast"/>
          <w:tblHeader w:val="0"/>
        </w:trP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widowControl w:val="0"/>
              <w:spacing w:after="0" w:line="276" w:lineRule="auto"/>
              <w:ind w:right="13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avizării în consiliul DPPD: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1" w:right="113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Responsabil program formare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(Semnătura):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Asistent de cercetare drd. Velibor MLADENOVICI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4" w:right="181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headerReference r:id="rId48" w:type="default"/>
      <w:headerReference r:id="rId49" w:type="first"/>
      <w:footerReference r:id="rId50" w:type="defaul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1"/>
        <w:i w:val="0"/>
        <w:smallCaps w:val="0"/>
        <w:strike w:val="0"/>
        <w:color w:val="ffc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1"/>
        <w:i w:val="0"/>
        <w:smallCaps w:val="0"/>
        <w:strike w:val="0"/>
        <w:color w:val="548dd4"/>
        <w:sz w:val="22"/>
        <w:szCs w:val="22"/>
        <w:u w:val="none"/>
        <w:shd w:fill="auto" w:val="clear"/>
        <w:vertAlign w:val="baseline"/>
        <w:rtl w:val="0"/>
      </w:rPr>
      <w:t xml:space="preserve">PAGINA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548dd4"/>
        <w:sz w:val="22"/>
        <w:szCs w:val="22"/>
        <w:u w:val="none"/>
        <w:shd w:fill="auto" w:val="clear"/>
        <w:vertAlign w:val="baseline"/>
        <w:rtl w:val="0"/>
      </w:rPr>
      <w:t xml:space="preserve"> |    </w:t>
    </w:r>
    <w:r w:rsidDel="00000000" w:rsidR="00000000" w:rsidRPr="00000000">
      <w:rPr>
        <w:rFonts w:ascii="Arial Narrow" w:cs="Arial Narrow" w:eastAsia="Arial Narrow" w:hAnsi="Arial Narrow"/>
        <w:b w:val="1"/>
        <w:i w:val="0"/>
        <w:smallCaps w:val="0"/>
        <w:strike w:val="0"/>
        <w:color w:val="ffc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C">
    <w:pPr>
      <w:rPr/>
    </w:pPr>
    <w:r w:rsidDel="00000000" w:rsidR="00000000" w:rsidRPr="00000000">
      <w:rPr>
        <w:rFonts w:ascii="Arial Narrow" w:cs="Arial Narrow" w:eastAsia="Arial Narrow" w:hAnsi="Arial Narrow"/>
        <w:color w:val="548dd4"/>
        <w:rtl w:val="0"/>
      </w:rPr>
      <w:t xml:space="preserve">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Laborator/Proiect/Aplicații practice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left" w:leader="none" w:pos="355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-197484</wp:posOffset>
          </wp:positionH>
          <wp:positionV relativeFrom="paragraph">
            <wp:posOffset>-252728</wp:posOffset>
          </wp:positionV>
          <wp:extent cx="2311400" cy="596900"/>
          <wp:effectExtent b="0" l="0" r="0" t="0"/>
          <wp:wrapNone/>
          <wp:docPr descr="logo uvt" id="12" name="image1.jpg"/>
          <a:graphic>
            <a:graphicData uri="http://schemas.openxmlformats.org/drawingml/2006/picture">
              <pic:pic>
                <pic:nvPicPr>
                  <pic:cNvPr descr="logo uvt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11400" cy="596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301625</wp:posOffset>
          </wp:positionH>
          <wp:positionV relativeFrom="paragraph">
            <wp:posOffset>223520</wp:posOffset>
          </wp:positionV>
          <wp:extent cx="6176645" cy="33655"/>
          <wp:effectExtent b="0" l="0" r="0" t="0"/>
          <wp:wrapSquare wrapText="bothSides" distB="0" distT="0" distL="114300" distR="114300"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76645" cy="33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-2179319</wp:posOffset>
          </wp:positionH>
          <wp:positionV relativeFrom="paragraph">
            <wp:posOffset>372745</wp:posOffset>
          </wp:positionV>
          <wp:extent cx="8995410" cy="45085"/>
          <wp:effectExtent b="0" l="0" r="0" t="0"/>
          <wp:wrapSquare wrapText="bothSides" distB="0" distT="0" distL="114300" distR="114300"/>
          <wp:docPr id="1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95410" cy="450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966" w:hanging="356.0000000000001"/>
      </w:pPr>
      <w:rPr>
        <w:rFonts w:ascii="Times New Roman" w:cs="Times New Roman" w:eastAsia="Times New Roman" w:hAnsi="Times New Roman"/>
        <w:b w:val="1"/>
        <w:sz w:val="22"/>
        <w:szCs w:val="22"/>
      </w:rPr>
    </w:lvl>
    <w:lvl w:ilvl="1">
      <w:start w:val="0"/>
      <w:numFmt w:val="bullet"/>
      <w:lvlText w:val="•"/>
      <w:lvlJc w:val="left"/>
      <w:pPr>
        <w:ind w:left="1936" w:hanging="356"/>
      </w:pPr>
      <w:rPr/>
    </w:lvl>
    <w:lvl w:ilvl="2">
      <w:start w:val="0"/>
      <w:numFmt w:val="bullet"/>
      <w:lvlText w:val="•"/>
      <w:lvlJc w:val="left"/>
      <w:pPr>
        <w:ind w:left="2912" w:hanging="356"/>
      </w:pPr>
      <w:rPr/>
    </w:lvl>
    <w:lvl w:ilvl="3">
      <w:start w:val="0"/>
      <w:numFmt w:val="bullet"/>
      <w:lvlText w:val="•"/>
      <w:lvlJc w:val="left"/>
      <w:pPr>
        <w:ind w:left="3888" w:hanging="356"/>
      </w:pPr>
      <w:rPr/>
    </w:lvl>
    <w:lvl w:ilvl="4">
      <w:start w:val="0"/>
      <w:numFmt w:val="bullet"/>
      <w:lvlText w:val="•"/>
      <w:lvlJc w:val="left"/>
      <w:pPr>
        <w:ind w:left="4864" w:hanging="356"/>
      </w:pPr>
      <w:rPr/>
    </w:lvl>
    <w:lvl w:ilvl="5">
      <w:start w:val="0"/>
      <w:numFmt w:val="bullet"/>
      <w:lvlText w:val="•"/>
      <w:lvlJc w:val="left"/>
      <w:pPr>
        <w:ind w:left="5840" w:hanging="356"/>
      </w:pPr>
      <w:rPr/>
    </w:lvl>
    <w:lvl w:ilvl="6">
      <w:start w:val="0"/>
      <w:numFmt w:val="bullet"/>
      <w:lvlText w:val="•"/>
      <w:lvlJc w:val="left"/>
      <w:pPr>
        <w:ind w:left="6816" w:hanging="356"/>
      </w:pPr>
      <w:rPr/>
    </w:lvl>
    <w:lvl w:ilvl="7">
      <w:start w:val="0"/>
      <w:numFmt w:val="bullet"/>
      <w:lvlText w:val="•"/>
      <w:lvlJc w:val="left"/>
      <w:pPr>
        <w:ind w:left="7792" w:hanging="356"/>
      </w:pPr>
      <w:rPr/>
    </w:lvl>
    <w:lvl w:ilvl="8">
      <w:start w:val="0"/>
      <w:numFmt w:val="bullet"/>
      <w:lvlText w:val="•"/>
      <w:lvlJc w:val="left"/>
      <w:pPr>
        <w:ind w:left="8768" w:hanging="356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8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43CED"/>
  </w:style>
  <w:style w:type="paragraph" w:styleId="Heading1">
    <w:name w:val="heading 1"/>
    <w:basedOn w:val="Normal"/>
    <w:next w:val="Normal"/>
    <w:link w:val="Heading1Char"/>
    <w:uiPriority w:val="9"/>
    <w:qFormat w:val="1"/>
    <w:rsid w:val="000F3822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qFormat w:val="1"/>
    <w:rsid w:val="00571E85"/>
    <w:pPr>
      <w:keepNext w:val="1"/>
      <w:spacing w:after="60" w:before="240" w:line="240" w:lineRule="auto"/>
      <w:outlineLvl w:val="1"/>
    </w:pPr>
    <w:rPr>
      <w:rFonts w:ascii="Arial" w:cs="Times New Roman" w:eastAsia="Calibri" w:hAnsi="Arial"/>
      <w:b w:val="1"/>
      <w:bCs w:val="1"/>
      <w:i w:val="1"/>
      <w:iCs w:val="1"/>
      <w:sz w:val="28"/>
      <w:szCs w:val="28"/>
      <w:lang w:eastAsia="ro-RO" w:val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link w:val="ListParagraphChar"/>
    <w:uiPriority w:val="1"/>
    <w:qFormat w:val="1"/>
    <w:rsid w:val="00F43CED"/>
    <w:pPr>
      <w:ind w:left="720"/>
      <w:contextualSpacing w:val="1"/>
    </w:pPr>
  </w:style>
  <w:style w:type="character" w:styleId="fontstyle01" w:customStyle="1">
    <w:name w:val="fontstyle01"/>
    <w:basedOn w:val="DefaultParagraphFont"/>
    <w:rsid w:val="00586D31"/>
    <w:rPr>
      <w:rFonts w:ascii="Arial" w:cs="Arial" w:hAnsi="Arial" w:hint="default"/>
      <w:b w:val="1"/>
      <w:bCs w:val="1"/>
      <w:i w:val="0"/>
      <w:iCs w:val="0"/>
      <w:color w:val="333333"/>
      <w:sz w:val="22"/>
      <w:szCs w:val="22"/>
    </w:rPr>
  </w:style>
  <w:style w:type="character" w:styleId="fontstyle21" w:customStyle="1">
    <w:name w:val="fontstyle21"/>
    <w:basedOn w:val="DefaultParagraphFont"/>
    <w:rsid w:val="00586D31"/>
    <w:rPr>
      <w:rFonts w:ascii="Arial" w:cs="Arial" w:hAnsi="Arial" w:hint="default"/>
      <w:b w:val="0"/>
      <w:bCs w:val="0"/>
      <w:i w:val="0"/>
      <w:iCs w:val="0"/>
      <w:color w:val="333333"/>
      <w:sz w:val="22"/>
      <w:szCs w:val="22"/>
    </w:rPr>
  </w:style>
  <w:style w:type="paragraph" w:styleId="Default" w:customStyle="1">
    <w:name w:val="Default"/>
    <w:rsid w:val="00586D31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Calibri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1927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92752"/>
  </w:style>
  <w:style w:type="paragraph" w:styleId="Footer">
    <w:name w:val="footer"/>
    <w:basedOn w:val="Normal"/>
    <w:link w:val="FooterChar"/>
    <w:uiPriority w:val="99"/>
    <w:unhideWhenUsed w:val="1"/>
    <w:rsid w:val="001927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92752"/>
  </w:style>
  <w:style w:type="character" w:styleId="PageNumber">
    <w:name w:val="page number"/>
    <w:basedOn w:val="DefaultParagraphFont"/>
    <w:uiPriority w:val="99"/>
    <w:rsid w:val="00A933CC"/>
  </w:style>
  <w:style w:type="table" w:styleId="TableGrid">
    <w:name w:val="Table Grid"/>
    <w:basedOn w:val="TableNormal"/>
    <w:uiPriority w:val="39"/>
    <w:rsid w:val="00DC56B7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B49A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B49A1"/>
    <w:rPr>
      <w:rFonts w:ascii="Segoe UI" w:cs="Segoe UI" w:hAnsi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D359E5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D359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D359E5"/>
    <w:rPr>
      <w:vertAlign w:val="superscript"/>
    </w:rPr>
  </w:style>
  <w:style w:type="character" w:styleId="ListParagraphChar" w:customStyle="1">
    <w:name w:val="List Paragraph Char"/>
    <w:link w:val="ListParagraph"/>
    <w:uiPriority w:val="1"/>
    <w:locked w:val="1"/>
    <w:rsid w:val="00FD46A3"/>
  </w:style>
  <w:style w:type="table" w:styleId="TableGrid1" w:customStyle="1">
    <w:name w:val="Table Grid1"/>
    <w:basedOn w:val="TableNormal"/>
    <w:next w:val="TableGrid"/>
    <w:uiPriority w:val="99"/>
    <w:rsid w:val="00697DB7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Heading2Char" w:customStyle="1">
    <w:name w:val="Heading 2 Char"/>
    <w:basedOn w:val="DefaultParagraphFont"/>
    <w:link w:val="Heading2"/>
    <w:rsid w:val="00571E85"/>
    <w:rPr>
      <w:rFonts w:ascii="Arial" w:cs="Times New Roman" w:eastAsia="Calibri" w:hAnsi="Arial"/>
      <w:b w:val="1"/>
      <w:bCs w:val="1"/>
      <w:i w:val="1"/>
      <w:iCs w:val="1"/>
      <w:sz w:val="28"/>
      <w:szCs w:val="28"/>
      <w:lang w:eastAsia="ro-RO" w:val="ro-RO"/>
    </w:rPr>
  </w:style>
  <w:style w:type="paragraph" w:styleId="BodyTextIndent2">
    <w:name w:val="Body Text Indent 2"/>
    <w:basedOn w:val="Normal"/>
    <w:link w:val="BodyTextIndent2Char"/>
    <w:rsid w:val="00571E85"/>
    <w:pPr>
      <w:spacing w:after="0" w:line="240" w:lineRule="auto"/>
      <w:ind w:left="360" w:firstLine="360"/>
      <w:jc w:val="both"/>
    </w:pPr>
    <w:rPr>
      <w:rFonts w:ascii="Times New Roman" w:cs="Times New Roman" w:eastAsia="Times New Roman" w:hAnsi="Times New Roman"/>
      <w:sz w:val="24"/>
      <w:szCs w:val="24"/>
      <w:lang w:val="ro-RO"/>
    </w:rPr>
  </w:style>
  <w:style w:type="character" w:styleId="BodyTextIndent2Char" w:customStyle="1">
    <w:name w:val="Body Text Indent 2 Char"/>
    <w:basedOn w:val="DefaultParagraphFont"/>
    <w:link w:val="BodyTextIndent2"/>
    <w:rsid w:val="00571E85"/>
    <w:rPr>
      <w:rFonts w:ascii="Times New Roman" w:cs="Times New Roman" w:eastAsia="Times New Roman" w:hAnsi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571E85"/>
    <w:pPr>
      <w:spacing w:after="0" w:line="240" w:lineRule="auto"/>
      <w:ind w:left="360" w:firstLine="360"/>
    </w:pPr>
    <w:rPr>
      <w:rFonts w:ascii="Times New Roman" w:cs="Times New Roman" w:eastAsia="Times New Roman" w:hAnsi="Times New Roman"/>
      <w:sz w:val="24"/>
      <w:szCs w:val="24"/>
      <w:lang w:val="ro-RO"/>
    </w:rPr>
  </w:style>
  <w:style w:type="character" w:styleId="BodyTextIndent3Char" w:customStyle="1">
    <w:name w:val="Body Text Indent 3 Char"/>
    <w:basedOn w:val="DefaultParagraphFont"/>
    <w:link w:val="BodyTextIndent3"/>
    <w:rsid w:val="00571E85"/>
    <w:rPr>
      <w:rFonts w:ascii="Times New Roman" w:cs="Times New Roman" w:eastAsia="Times New Roman" w:hAnsi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 w:val="1"/>
    <w:rsid w:val="004E002A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 w:val="1"/>
    <w:rsid w:val="00A61B08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61B08"/>
  </w:style>
  <w:style w:type="paragraph" w:styleId="TableParagraph" w:customStyle="1">
    <w:name w:val="Table Paragraph"/>
    <w:basedOn w:val="Normal"/>
    <w:uiPriority w:val="1"/>
    <w:qFormat w:val="1"/>
    <w:rsid w:val="00A61B08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bidi="ro-RO" w:eastAsia="ro-RO" w:val="ro-RO"/>
    </w:rPr>
  </w:style>
  <w:style w:type="paragraph" w:styleId="Revision">
    <w:name w:val="Revision"/>
    <w:hidden w:val="1"/>
    <w:uiPriority w:val="99"/>
    <w:semiHidden w:val="1"/>
    <w:rsid w:val="00C63511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784942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7849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sid w:val="0078494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D3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8D350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D35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8D350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8D3509"/>
    <w:rPr>
      <w:b w:val="1"/>
      <w:bCs w:val="1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0F3822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NormalWeb">
    <w:name w:val="Normal (Web)"/>
    <w:basedOn w:val="Normal"/>
    <w:uiPriority w:val="99"/>
    <w:semiHidden w:val="1"/>
    <w:unhideWhenUsed w:val="1"/>
    <w:rsid w:val="00B1010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zh-CN" w:val="en-R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doi.org/10.1007/s10942-021-00415-1" TargetMode="External"/><Relationship Id="rId42" Type="http://schemas.openxmlformats.org/officeDocument/2006/relationships/hyperlink" Target="https://doi.org/10.1007/s10942-021-00415-1" TargetMode="External"/><Relationship Id="rId41" Type="http://schemas.openxmlformats.org/officeDocument/2006/relationships/hyperlink" Target="https://doi.org/10.1016/j.edurev.2018.03.002" TargetMode="External"/><Relationship Id="rId44" Type="http://schemas.openxmlformats.org/officeDocument/2006/relationships/hyperlink" Target="https://hsrc.himmelfarb.gwu.edu/books/249/" TargetMode="External"/><Relationship Id="rId43" Type="http://schemas.openxmlformats.org/officeDocument/2006/relationships/hyperlink" Target="https://doi.org/10.3102/00346543070002151" TargetMode="External"/><Relationship Id="rId46" Type="http://schemas.openxmlformats.org/officeDocument/2006/relationships/hyperlink" Target="https://psycnet.apa.org/doi/10.1037/bul0000098" TargetMode="External"/><Relationship Id="rId45" Type="http://schemas.openxmlformats.org/officeDocument/2006/relationships/hyperlink" Target="https://doi.org/10.1007/s10942-021-00415-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i.org/10.1007/s10648-019-09491-3" TargetMode="External"/><Relationship Id="rId48" Type="http://schemas.openxmlformats.org/officeDocument/2006/relationships/header" Target="header1.xml"/><Relationship Id="rId47" Type="http://schemas.openxmlformats.org/officeDocument/2006/relationships/hyperlink" Target="https://doi.org/10.1007/s10942-021-00415-1" TargetMode="External"/><Relationship Id="rId4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doi.org/10.3102/00346543211042426" TargetMode="External"/><Relationship Id="rId31" Type="http://schemas.openxmlformats.org/officeDocument/2006/relationships/hyperlink" Target="http://doi.org/10.1080/00461520.2020.1862657" TargetMode="External"/><Relationship Id="rId30" Type="http://schemas.openxmlformats.org/officeDocument/2006/relationships/hyperlink" Target="https://doi.org/10.1177/1745691620966789" TargetMode="External"/><Relationship Id="rId33" Type="http://schemas.openxmlformats.org/officeDocument/2006/relationships/hyperlink" Target="https://doi.org/10.1177/0013164409355699" TargetMode="External"/><Relationship Id="rId32" Type="http://schemas.openxmlformats.org/officeDocument/2006/relationships/hyperlink" Target="https://doi.org/10.1080/00405841.2021.1932159" TargetMode="External"/><Relationship Id="rId35" Type="http://schemas.openxmlformats.org/officeDocument/2006/relationships/hyperlink" Target="https://doi.org/10.33788/sr.19.2.4" TargetMode="External"/><Relationship Id="rId34" Type="http://schemas.openxmlformats.org/officeDocument/2006/relationships/hyperlink" Target="https://doi.org/10.1080/03075079.2019.1665325" TargetMode="External"/><Relationship Id="rId37" Type="http://schemas.openxmlformats.org/officeDocument/2006/relationships/hyperlink" Target="https://doi.org/10.1080/02602938.2021.1967874" TargetMode="External"/><Relationship Id="rId36" Type="http://schemas.openxmlformats.org/officeDocument/2006/relationships/hyperlink" Target="https://doi.org/10.1080/02602938.2021.1967874" TargetMode="External"/><Relationship Id="rId39" Type="http://schemas.openxmlformats.org/officeDocument/2006/relationships/hyperlink" Target="https://doi.org/10.1016/j.sel.2024.100035" TargetMode="External"/><Relationship Id="rId38" Type="http://schemas.openxmlformats.org/officeDocument/2006/relationships/hyperlink" Target="https://doi.org/10.1016/j.learninstruc.2022.101628" TargetMode="External"/><Relationship Id="rId20" Type="http://schemas.openxmlformats.org/officeDocument/2006/relationships/hyperlink" Target="https://doi.org/10.1007/s10942-021-00415-1" TargetMode="External"/><Relationship Id="rId22" Type="http://schemas.openxmlformats.org/officeDocument/2006/relationships/hyperlink" Target="https://doi.org/10.1080/02796015.2002.12086158" TargetMode="External"/><Relationship Id="rId21" Type="http://schemas.openxmlformats.org/officeDocument/2006/relationships/hyperlink" Target="https://doi.org/10.1016/j.edurev.2018.03.002" TargetMode="External"/><Relationship Id="rId24" Type="http://schemas.openxmlformats.org/officeDocument/2006/relationships/hyperlink" Target="https://hsrc.himmelfarb.gwu.edu/books/249/" TargetMode="External"/><Relationship Id="rId23" Type="http://schemas.openxmlformats.org/officeDocument/2006/relationships/hyperlink" Target="https://doi.org/10.3102/00346543070002151" TargetMode="External"/><Relationship Id="rId26" Type="http://schemas.openxmlformats.org/officeDocument/2006/relationships/hyperlink" Target="https://psycnet.apa.org/doi/10.1037/bul0000098" TargetMode="External"/><Relationship Id="rId25" Type="http://schemas.openxmlformats.org/officeDocument/2006/relationships/hyperlink" Target="https://doi.org/10.1007/s10942-021-00415-1" TargetMode="External"/><Relationship Id="rId28" Type="http://schemas.openxmlformats.org/officeDocument/2006/relationships/hyperlink" Target="https://doi.org/10.3102/00346543211042426" TargetMode="External"/><Relationship Id="rId27" Type="http://schemas.openxmlformats.org/officeDocument/2006/relationships/hyperlink" Target="https://doi.org/10.1007/s10942-021-00415-1" TargetMode="External"/><Relationship Id="rId29" Type="http://schemas.openxmlformats.org/officeDocument/2006/relationships/hyperlink" Target="https://doi.org/10.1007/s10648-019-09491-3" TargetMode="External"/><Relationship Id="rId50" Type="http://schemas.openxmlformats.org/officeDocument/2006/relationships/footer" Target="footer1.xml"/><Relationship Id="rId11" Type="http://schemas.openxmlformats.org/officeDocument/2006/relationships/hyperlink" Target="https://doi.org/10.1080/00461520.2020.1862657" TargetMode="External"/><Relationship Id="rId10" Type="http://schemas.openxmlformats.org/officeDocument/2006/relationships/hyperlink" Target="https://doi.org/10.1177/1745691620966789" TargetMode="External"/><Relationship Id="rId13" Type="http://schemas.openxmlformats.org/officeDocument/2006/relationships/hyperlink" Target="https://doi.org/10.1177/0013164409355699" TargetMode="External"/><Relationship Id="rId12" Type="http://schemas.openxmlformats.org/officeDocument/2006/relationships/hyperlink" Target="https://doi.org/10.1080/00405841.2021.1932159" TargetMode="External"/><Relationship Id="rId15" Type="http://schemas.openxmlformats.org/officeDocument/2006/relationships/hyperlink" Target="https://doi.org/10.33788/sr.19.2.4" TargetMode="External"/><Relationship Id="rId14" Type="http://schemas.openxmlformats.org/officeDocument/2006/relationships/hyperlink" Target="https://doi.org/10.1080/03075079.2019.1665325" TargetMode="External"/><Relationship Id="rId17" Type="http://schemas.openxmlformats.org/officeDocument/2006/relationships/hyperlink" Target="https://doi.org/10.1080/02602938.2021.1967874" TargetMode="External"/><Relationship Id="rId16" Type="http://schemas.openxmlformats.org/officeDocument/2006/relationships/hyperlink" Target="https://doi.org/10.1080/02602938.2021.1967874" TargetMode="External"/><Relationship Id="rId19" Type="http://schemas.openxmlformats.org/officeDocument/2006/relationships/hyperlink" Target="https://doi.org/10.1016/j.sel.2024.100035" TargetMode="External"/><Relationship Id="rId18" Type="http://schemas.openxmlformats.org/officeDocument/2006/relationships/hyperlink" Target="https://doi.org/10.1016/j.learninstruc.2022.10162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AUkjbs3YdYNRL+736c/XLid8uQ==">CgMxLjAyCGguZ2pkZ3hzOAByITFhbmc5TFdlSllHMmFoZHk1eEQ4Rkw4cFFGdk03V2pkVw==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2024-07-31T08:03:00Z</dcterms:created>
  <dc:creator>Windows User</dc:creator>
</cp:coreProperties>
</file>